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3C74A" w14:textId="77777777" w:rsidR="009F5BBD" w:rsidRPr="0093694B" w:rsidRDefault="009F5BBD" w:rsidP="009F5BBD">
      <w:pPr>
        <w:keepNext/>
        <w:tabs>
          <w:tab w:val="right" w:pos="9072"/>
        </w:tabs>
        <w:spacing w:before="240" w:after="60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 w:rsidRPr="0093694B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bookmarkEnd w:id="0"/>
    <w:p w14:paraId="7A108B6D" w14:textId="77777777" w:rsidR="002501DE" w:rsidRPr="0093694B" w:rsidRDefault="002501DE" w:rsidP="002501DE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p w14:paraId="64B83E97" w14:textId="77777777" w:rsidR="003B0D27" w:rsidRDefault="002501DE" w:rsidP="00666EAC">
      <w:pPr>
        <w:contextualSpacing/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</w:pPr>
      <w:r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>Przedmiotem zamówienia jest</w:t>
      </w:r>
      <w:r w:rsidR="00213FEE"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>:</w:t>
      </w:r>
      <w:r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 xml:space="preserve"> usługa w zakresie </w:t>
      </w:r>
      <w:r w:rsidR="00213FEE"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 xml:space="preserve">przygotowania i </w:t>
      </w:r>
      <w:r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>przeprowadzenia</w:t>
      </w:r>
      <w:r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</w:t>
      </w:r>
      <w:r w:rsidR="005D0382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1</w:t>
      </w:r>
      <w:r w:rsidR="00481B95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S</w:t>
      </w:r>
      <w:r w:rsidR="00A77058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zkole</w:t>
      </w:r>
      <w:r w:rsidR="005D0382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nia</w:t>
      </w:r>
      <w:r w:rsidR="00A77058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</w:t>
      </w:r>
    </w:p>
    <w:p w14:paraId="388A3044" w14:textId="41F164E3" w:rsidR="00213FEE" w:rsidRPr="0093694B" w:rsidRDefault="00A77058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2 - dniow</w:t>
      </w:r>
      <w:r w:rsidR="005D0382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ego</w:t>
      </w:r>
      <w:r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dla kadry </w:t>
      </w:r>
      <w:r w:rsidR="005D0382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Ośrodków Wsparcia Ekonomii Społecznej</w:t>
      </w:r>
      <w:r w:rsidR="00481B95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</w:t>
      </w:r>
      <w:r w:rsidR="00213FEE" w:rsidRPr="00E31F8C">
        <w:rPr>
          <w:rFonts w:asciiTheme="minorHAnsi" w:eastAsia="Times New Roman" w:hAnsiTheme="minorHAnsi" w:cstheme="minorHAnsi"/>
          <w:iCs/>
          <w:szCs w:val="22"/>
          <w:lang w:eastAsia="en-US"/>
        </w:rPr>
        <w:t>na temat</w:t>
      </w:r>
      <w:r w:rsidR="00AB0E04" w:rsidRPr="00E31F8C">
        <w:rPr>
          <w:rFonts w:asciiTheme="minorHAnsi" w:eastAsia="Times New Roman" w:hAnsiTheme="minorHAnsi" w:cstheme="minorHAnsi"/>
          <w:iCs/>
          <w:szCs w:val="22"/>
          <w:lang w:eastAsia="en-US"/>
        </w:rPr>
        <w:t>:</w:t>
      </w:r>
      <w:r w:rsidR="00213FEE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</w:t>
      </w:r>
      <w:r w:rsidR="00C61B61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Wypaleni</w:t>
      </w:r>
      <w:r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e </w:t>
      </w:r>
      <w:r w:rsidR="00C61B61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zawodowe</w:t>
      </w:r>
      <w:r w:rsidR="000276CF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</w:t>
      </w:r>
      <w:r w:rsidR="000276CF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br/>
      </w:r>
      <w:r w:rsidR="00C61B61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i długotrwały stres </w:t>
      </w:r>
      <w:r w:rsidR="00213FEE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- s</w:t>
      </w:r>
      <w:r w:rsidR="002501DE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kutki i metody przeciwdziałania</w:t>
      </w:r>
      <w:r w:rsidR="00213FEE" w:rsidRPr="0093694B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213FEE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wraz z przygotowaniem materiałów edukacyjnych </w:t>
      </w:r>
      <w:r w:rsidR="00213FEE"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>dla uczestników projektu realizowanego przez Dolnośląski Ośrodek Polityki Społecznej we Wrocławiu pn. „Koordynacja działań w zakresie polityki społecznej w województwie dolnośląskim”.</w:t>
      </w:r>
    </w:p>
    <w:p w14:paraId="754FD8A2" w14:textId="77777777" w:rsidR="00093C0B" w:rsidRPr="0093694B" w:rsidRDefault="00093C0B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p w14:paraId="4C57351A" w14:textId="2FBDF248" w:rsidR="00213FEE" w:rsidRPr="0093694B" w:rsidRDefault="005C4DF2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Działania 4.13 Program Fundusze Europejskie dla Rozwoju Społecznego 2021-2027 (FERS).</w:t>
      </w:r>
    </w:p>
    <w:p w14:paraId="36487C60" w14:textId="77777777" w:rsidR="005824B6" w:rsidRPr="0093694B" w:rsidRDefault="005824B6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93694B" w:rsidRPr="0093694B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6CBC79CD" w:rsidR="00666EAC" w:rsidRPr="0093694B" w:rsidRDefault="00666EAC" w:rsidP="00B47D97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B44E" w14:textId="11DAB038" w:rsidR="00093C0B" w:rsidRPr="0093694B" w:rsidRDefault="00093C0B" w:rsidP="00093C0B">
            <w:pPr>
              <w:contextualSpacing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Przedmiotem zamówienia jest: usługa w zakresie przygotowania i przeprowadzenia</w:t>
            </w:r>
            <w:r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5D0382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1</w:t>
            </w:r>
            <w:r w:rsidR="00481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Szkole</w:t>
            </w:r>
            <w:r w:rsidR="005D0382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nia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2 - dniow</w:t>
            </w:r>
            <w:r w:rsidR="005D0382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ego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dla kadry </w:t>
            </w:r>
            <w:r w:rsidR="005D0382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Ośrodków Wsparcia Ekonomii Społecznej</w:t>
            </w:r>
            <w:r w:rsidR="00481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F03935" w:rsidRPr="00E31F8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na temat: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Wypalenie zawodowe  i długotrwały stres - skutki i metody przeciwdziałania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 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wraz z przygotowaniem materiałów edukacyjnych </w:t>
            </w:r>
            <w:r w:rsidRPr="0093694B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dla uczestników projektu realizowanego przez Dolnośląski Ośrodek Polityki Społecznej we Wrocławiu pn. „Koordynacja działań w zakresie polityki społecznej w województwie dolnośląskim”.</w:t>
            </w:r>
          </w:p>
          <w:p w14:paraId="58CFE3AF" w14:textId="77777777" w:rsidR="00093C0B" w:rsidRPr="0093694B" w:rsidRDefault="00093C0B" w:rsidP="00093C0B">
            <w:pPr>
              <w:contextualSpacing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</w:p>
          <w:p w14:paraId="1420347B" w14:textId="1EB243E8" w:rsidR="00A34C3C" w:rsidRPr="0093694B" w:rsidRDefault="00D03A1C" w:rsidP="00D03A1C">
            <w:pPr>
              <w:rPr>
                <w:rFonts w:cs="Calibri"/>
                <w:iCs/>
              </w:rPr>
            </w:pPr>
            <w:r w:rsidRPr="0093694B">
              <w:rPr>
                <w:rFonts w:cs="Calibri"/>
                <w:iCs/>
              </w:rPr>
              <w:t>Cel</w:t>
            </w:r>
            <w:r w:rsidR="00B84135" w:rsidRPr="0093694B">
              <w:rPr>
                <w:rFonts w:cs="Calibri"/>
                <w:iCs/>
              </w:rPr>
              <w:t>em</w:t>
            </w:r>
            <w:r w:rsidRPr="0093694B">
              <w:rPr>
                <w:rFonts w:cs="Calibri"/>
                <w:iCs/>
              </w:rPr>
              <w:t xml:space="preserve"> </w:t>
            </w:r>
            <w:r w:rsidR="00631F5C" w:rsidRPr="0093694B">
              <w:rPr>
                <w:rFonts w:cs="Calibri"/>
                <w:iCs/>
              </w:rPr>
              <w:t>szkolenia</w:t>
            </w:r>
            <w:r w:rsidR="00B84135" w:rsidRPr="0093694B">
              <w:rPr>
                <w:rFonts w:cs="Calibri"/>
                <w:iCs/>
              </w:rPr>
              <w:t xml:space="preserve"> jest</w:t>
            </w:r>
            <w:r w:rsidR="00E60778" w:rsidRPr="0093694B">
              <w:rPr>
                <w:rFonts w:cs="Calibri"/>
                <w:iCs/>
              </w:rPr>
              <w:t xml:space="preserve"> </w:t>
            </w:r>
            <w:r w:rsidR="005C4DF2" w:rsidRPr="0093694B">
              <w:rPr>
                <w:rFonts w:cs="Calibri"/>
                <w:iCs/>
              </w:rPr>
              <w:t xml:space="preserve">przekazanie </w:t>
            </w:r>
            <w:r w:rsidR="00B84135" w:rsidRPr="0093694B">
              <w:rPr>
                <w:rFonts w:cs="Calibri"/>
                <w:iCs/>
              </w:rPr>
              <w:t xml:space="preserve">kadrze </w:t>
            </w:r>
            <w:r w:rsidR="00410F97">
              <w:rPr>
                <w:rFonts w:cs="Calibri"/>
                <w:iCs/>
              </w:rPr>
              <w:t>Ośrodków Wsparcia Ekonomii Społecznej (OWES)</w:t>
            </w:r>
            <w:r w:rsidR="00757868">
              <w:rPr>
                <w:rFonts w:cs="Calibri"/>
                <w:iCs/>
              </w:rPr>
              <w:t xml:space="preserve"> </w:t>
            </w:r>
            <w:r w:rsidR="005C4DF2" w:rsidRPr="0093694B">
              <w:rPr>
                <w:rFonts w:cs="Calibri"/>
                <w:iCs/>
              </w:rPr>
              <w:t xml:space="preserve">wiedzy i </w:t>
            </w:r>
            <w:r w:rsidR="00396417" w:rsidRPr="0093694B">
              <w:rPr>
                <w:rFonts w:cs="Calibri"/>
                <w:iCs/>
              </w:rPr>
              <w:t xml:space="preserve">umiejętności praktycznego </w:t>
            </w:r>
            <w:r w:rsidR="005C4DF2" w:rsidRPr="0093694B">
              <w:rPr>
                <w:rFonts w:cs="Calibri"/>
                <w:iCs/>
              </w:rPr>
              <w:t>radzenia sobie ze stresem, zniechęceniem do wykonywania obowiązków zawodowych prowadzący</w:t>
            </w:r>
            <w:r w:rsidR="005B7AFF" w:rsidRPr="0093694B">
              <w:rPr>
                <w:rFonts w:cs="Calibri"/>
                <w:iCs/>
              </w:rPr>
              <w:t>ch</w:t>
            </w:r>
            <w:r w:rsidR="005C4DF2" w:rsidRPr="0093694B">
              <w:rPr>
                <w:rFonts w:cs="Calibri"/>
                <w:iCs/>
              </w:rPr>
              <w:t xml:space="preserve"> do wypalenia zawodowego, uwzględniającej specyfikę grupy docelowej</w:t>
            </w:r>
            <w:r w:rsidR="00410F97">
              <w:rPr>
                <w:rFonts w:cs="Calibri"/>
                <w:iCs/>
              </w:rPr>
              <w:t>.</w:t>
            </w:r>
          </w:p>
          <w:p w14:paraId="68674245" w14:textId="77777777" w:rsidR="00481B95" w:rsidRDefault="00481B95" w:rsidP="00D03A1C">
            <w:pPr>
              <w:rPr>
                <w:rFonts w:cs="Calibri"/>
                <w:iCs/>
              </w:rPr>
            </w:pPr>
          </w:p>
          <w:p w14:paraId="5E5C33B8" w14:textId="43631E8F" w:rsidR="00C76B77" w:rsidRPr="0093694B" w:rsidRDefault="00E36D9F" w:rsidP="00D03A1C">
            <w:p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iCs/>
              </w:rPr>
              <w:t xml:space="preserve">Szkolenie będzie obejmowało </w:t>
            </w:r>
            <w:r w:rsidR="00883CC1" w:rsidRPr="0093694B">
              <w:rPr>
                <w:rFonts w:cs="Calibri"/>
                <w:iCs/>
              </w:rPr>
              <w:t xml:space="preserve">zgłębienie wiedzy o źródłach wypalenia zawodowego i poznanie sposobów jego przeciwdziałaniu, ze szczególnym uwzględnieniem specyfiki pracy </w:t>
            </w:r>
            <w:r w:rsidR="00937765" w:rsidRPr="00937765">
              <w:rPr>
                <w:rFonts w:cs="Calibri"/>
                <w:iCs/>
              </w:rPr>
              <w:t>z</w:t>
            </w:r>
            <w:r w:rsidR="00937765">
              <w:rPr>
                <w:rFonts w:cs="Calibri"/>
                <w:iCs/>
              </w:rPr>
              <w:t xml:space="preserve"> </w:t>
            </w:r>
            <w:r w:rsidR="00846272">
              <w:rPr>
                <w:rFonts w:cs="Calibri"/>
                <w:iCs/>
              </w:rPr>
              <w:t>osobami w trudnej sytuacji na rynku pracy, w tym osobami zagrożonymi wykluczeniem społecznym oraz wykluczonymi społecznie</w:t>
            </w:r>
            <w:r w:rsidR="00883CC1" w:rsidRPr="0093694B">
              <w:rPr>
                <w:rFonts w:cs="Calibri"/>
                <w:iCs/>
              </w:rPr>
              <w:t xml:space="preserve">. </w:t>
            </w:r>
            <w:r w:rsidR="0006332B" w:rsidRPr="0093694B">
              <w:rPr>
                <w:rFonts w:cs="Calibri"/>
                <w:iCs/>
              </w:rPr>
              <w:t>Uczestnicy zostaną zapoznani z</w:t>
            </w:r>
            <w:r w:rsidR="00883CC1" w:rsidRPr="0093694B">
              <w:t xml:space="preserve"> t</w:t>
            </w:r>
            <w:r w:rsidR="00883CC1" w:rsidRPr="0093694B">
              <w:rPr>
                <w:rFonts w:cs="Calibri"/>
                <w:iCs/>
              </w:rPr>
              <w:t xml:space="preserve">echnikami </w:t>
            </w:r>
            <w:r w:rsidR="00DB4851">
              <w:rPr>
                <w:rFonts w:cs="Calibri"/>
                <w:iCs/>
              </w:rPr>
              <w:t>przeciwdziałania wypalenia</w:t>
            </w:r>
            <w:r w:rsidR="00481B95">
              <w:rPr>
                <w:rFonts w:cs="Calibri"/>
                <w:iCs/>
              </w:rPr>
              <w:t xml:space="preserve"> </w:t>
            </w:r>
            <w:r w:rsidR="00DB4851">
              <w:rPr>
                <w:rFonts w:cs="Calibri"/>
                <w:iCs/>
              </w:rPr>
              <w:t xml:space="preserve">zawodowego </w:t>
            </w:r>
            <w:r w:rsidR="00883CC1" w:rsidRPr="0093694B">
              <w:rPr>
                <w:rFonts w:cs="Calibri"/>
                <w:iCs/>
              </w:rPr>
              <w:t>i relacją pomiędzy wypaleniem zawodowym a motywacją do pracy.</w:t>
            </w:r>
            <w:r w:rsidR="0006332B" w:rsidRPr="0093694B">
              <w:rPr>
                <w:rFonts w:cs="Calibri"/>
                <w:iCs/>
              </w:rPr>
              <w:t xml:space="preserve"> </w:t>
            </w:r>
            <w:r w:rsidR="00883CC1" w:rsidRPr="0093694B">
              <w:rPr>
                <w:rFonts w:cs="Calibri"/>
                <w:iCs/>
              </w:rPr>
              <w:t xml:space="preserve">W </w:t>
            </w:r>
            <w:r w:rsidR="0006332B" w:rsidRPr="0093694B">
              <w:rPr>
                <w:rFonts w:cs="Calibri"/>
                <w:iCs/>
              </w:rPr>
              <w:t>części praktycznej szkolenia zostan</w:t>
            </w:r>
            <w:r w:rsidR="00E515F4" w:rsidRPr="0093694B">
              <w:rPr>
                <w:rFonts w:cs="Calibri"/>
                <w:iCs/>
              </w:rPr>
              <w:t xml:space="preserve">ie przeprowadzona autodiagnoza oraz zostaną przedstawione </w:t>
            </w:r>
            <w:r w:rsidR="00E515F4" w:rsidRPr="0093694B">
              <w:rPr>
                <w:rFonts w:cs="Calibri"/>
                <w:bCs/>
                <w:iCs/>
              </w:rPr>
              <w:t>techniki rozładowujące stres tj. praca z ciałem, treningi relaksacyjne, ćwiczenia oddechowe.</w:t>
            </w:r>
          </w:p>
          <w:p w14:paraId="2C15106B" w14:textId="77777777" w:rsidR="001B665A" w:rsidRPr="0093694B" w:rsidRDefault="001B665A" w:rsidP="00D03A1C">
            <w:pPr>
              <w:rPr>
                <w:rFonts w:cs="Calibri"/>
                <w:iCs/>
              </w:rPr>
            </w:pPr>
          </w:p>
          <w:p w14:paraId="0A165C1C" w14:textId="11F09867" w:rsidR="00093C0B" w:rsidRPr="0093694B" w:rsidRDefault="001B665A" w:rsidP="00D03A1C">
            <w:pPr>
              <w:rPr>
                <w:rFonts w:cs="Calibri"/>
                <w:iCs/>
              </w:rPr>
            </w:pPr>
            <w:r w:rsidRPr="0093694B">
              <w:rPr>
                <w:rFonts w:cs="Calibri"/>
                <w:iCs/>
              </w:rPr>
              <w:t>Szkolenie powinno obejmować co najmniej</w:t>
            </w:r>
            <w:r w:rsidR="00E31F8C">
              <w:rPr>
                <w:rFonts w:cs="Calibri"/>
                <w:iCs/>
              </w:rPr>
              <w:t xml:space="preserve"> </w:t>
            </w:r>
            <w:r w:rsidRPr="0093694B">
              <w:rPr>
                <w:rFonts w:cs="Calibri"/>
                <w:iCs/>
              </w:rPr>
              <w:t xml:space="preserve">następujące elementy: </w:t>
            </w:r>
          </w:p>
          <w:p w14:paraId="31AD5DC4" w14:textId="72478F17" w:rsidR="00633180" w:rsidRPr="0093694B" w:rsidRDefault="001B665A" w:rsidP="005824B6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93694B">
              <w:rPr>
                <w:rFonts w:cs="Calibri"/>
                <w:iCs/>
              </w:rPr>
              <w:t>Podstawy teoretyczne dot. wypalenia zawodowego:</w:t>
            </w:r>
          </w:p>
          <w:p w14:paraId="132E2DE0" w14:textId="20BF7C08" w:rsidR="00396417" w:rsidRPr="0093694B" w:rsidRDefault="00396417" w:rsidP="00846272">
            <w:pPr>
              <w:pStyle w:val="Akapitzlist"/>
              <w:numPr>
                <w:ilvl w:val="1"/>
                <w:numId w:val="73"/>
              </w:numPr>
              <w:rPr>
                <w:rFonts w:cs="Calibri"/>
                <w:iCs/>
              </w:rPr>
            </w:pPr>
            <w:r w:rsidRPr="0093694B">
              <w:rPr>
                <w:rFonts w:cs="Calibri"/>
                <w:bCs/>
                <w:iCs/>
              </w:rPr>
              <w:t>Zjawisko wypalenia zawodowego – proces i przejawy. Czy obserwujesz u siebie objawy</w:t>
            </w:r>
            <w:r w:rsidR="003F0537" w:rsidRPr="0093694B">
              <w:rPr>
                <w:rFonts w:cs="Calibri"/>
                <w:bCs/>
                <w:iCs/>
              </w:rPr>
              <w:t>?</w:t>
            </w:r>
          </w:p>
          <w:p w14:paraId="66F51A4A" w14:textId="0D7AE52C" w:rsidR="00547058" w:rsidRPr="0093694B" w:rsidRDefault="00396417" w:rsidP="00846272">
            <w:pPr>
              <w:pStyle w:val="Akapitzlist"/>
              <w:numPr>
                <w:ilvl w:val="1"/>
                <w:numId w:val="73"/>
              </w:numPr>
              <w:rPr>
                <w:rFonts w:cs="Calibri"/>
                <w:iCs/>
              </w:rPr>
            </w:pPr>
            <w:r w:rsidRPr="0093694B">
              <w:rPr>
                <w:rFonts w:cs="Calibri"/>
                <w:bCs/>
                <w:iCs/>
              </w:rPr>
              <w:t>Bezpośrednie i długofalowe skutki wypalenia zawodowego</w:t>
            </w:r>
            <w:r w:rsidR="003F0537" w:rsidRPr="0093694B">
              <w:rPr>
                <w:rFonts w:cs="Calibri"/>
                <w:bCs/>
                <w:iCs/>
              </w:rPr>
              <w:t>.</w:t>
            </w:r>
          </w:p>
          <w:p w14:paraId="6253728A" w14:textId="24E03FF3" w:rsidR="00DA5AD7" w:rsidRPr="0093694B" w:rsidRDefault="00547058" w:rsidP="00846272">
            <w:pPr>
              <w:pStyle w:val="Akapitzlist"/>
              <w:numPr>
                <w:ilvl w:val="1"/>
                <w:numId w:val="73"/>
              </w:numPr>
              <w:spacing w:after="0"/>
              <w:rPr>
                <w:rFonts w:cs="Calibri"/>
                <w:iCs/>
              </w:rPr>
            </w:pPr>
            <w:r w:rsidRPr="0093694B">
              <w:rPr>
                <w:rFonts w:cs="Calibri"/>
                <w:bCs/>
                <w:iCs/>
              </w:rPr>
              <w:t>Cechy osobowości i czynniki sprzyjające pojawieniu się wypalenia zawodowego.</w:t>
            </w:r>
          </w:p>
          <w:p w14:paraId="4A794E10" w14:textId="0D3BEC2A" w:rsidR="00DA5AD7" w:rsidRPr="0093694B" w:rsidRDefault="00DA5AD7" w:rsidP="00846272">
            <w:pPr>
              <w:pStyle w:val="Akapitzlist"/>
              <w:numPr>
                <w:ilvl w:val="1"/>
                <w:numId w:val="73"/>
              </w:numPr>
              <w:spacing w:after="0"/>
              <w:rPr>
                <w:rFonts w:cs="Calibri"/>
                <w:iCs/>
              </w:rPr>
            </w:pPr>
            <w:r w:rsidRPr="0093694B">
              <w:rPr>
                <w:rFonts w:cs="Calibri"/>
                <w:bCs/>
                <w:iCs/>
              </w:rPr>
              <w:t xml:space="preserve">Diagnoza pojawiających się problemów w </w:t>
            </w:r>
            <w:r w:rsidR="00410F97">
              <w:rPr>
                <w:rFonts w:cs="Calibri"/>
                <w:bCs/>
                <w:iCs/>
              </w:rPr>
              <w:t>OWES</w:t>
            </w:r>
            <w:r w:rsidR="00E41CD3">
              <w:rPr>
                <w:rFonts w:cs="Calibri"/>
                <w:bCs/>
                <w:iCs/>
              </w:rPr>
              <w:t>.</w:t>
            </w:r>
            <w:r w:rsidR="00C8507E">
              <w:rPr>
                <w:rFonts w:cs="Calibri"/>
                <w:bCs/>
                <w:iCs/>
              </w:rPr>
              <w:t xml:space="preserve"> </w:t>
            </w:r>
          </w:p>
          <w:p w14:paraId="58CBB5D0" w14:textId="77777777" w:rsidR="00547058" w:rsidRPr="0093694B" w:rsidRDefault="00547058" w:rsidP="00093C0B">
            <w:pPr>
              <w:pStyle w:val="Akapitzlist"/>
              <w:spacing w:after="0"/>
              <w:ind w:left="1080"/>
              <w:rPr>
                <w:rFonts w:cs="Calibri"/>
                <w:iCs/>
              </w:rPr>
            </w:pPr>
          </w:p>
          <w:p w14:paraId="33C4C589" w14:textId="052D6B14" w:rsidR="00396417" w:rsidRPr="0093694B" w:rsidRDefault="00396417" w:rsidP="005824B6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="Calibri"/>
                <w:iCs/>
              </w:rPr>
            </w:pPr>
            <w:r w:rsidRPr="0093694B">
              <w:rPr>
                <w:rFonts w:cs="Calibri"/>
                <w:iCs/>
              </w:rPr>
              <w:t>Autodiagnoza wypalenia zawodowego lub ryzyka zagrożenia wypaleniem</w:t>
            </w:r>
          </w:p>
          <w:p w14:paraId="65684B3B" w14:textId="77777777" w:rsidR="00396417" w:rsidRPr="0093694B" w:rsidRDefault="00396417" w:rsidP="00846272">
            <w:pPr>
              <w:pStyle w:val="Akapitzlist"/>
              <w:numPr>
                <w:ilvl w:val="1"/>
                <w:numId w:val="74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bCs/>
                <w:iCs/>
              </w:rPr>
              <w:lastRenderedPageBreak/>
              <w:t>Identyfikacja stresorów w życiu zawodowym. Psychologia stresu.</w:t>
            </w:r>
          </w:p>
          <w:p w14:paraId="7A9D0103" w14:textId="37E3D008" w:rsidR="00396417" w:rsidRPr="0093694B" w:rsidRDefault="00396417" w:rsidP="00846272">
            <w:pPr>
              <w:pStyle w:val="Akapitzlist"/>
              <w:numPr>
                <w:ilvl w:val="1"/>
                <w:numId w:val="74"/>
              </w:numPr>
              <w:rPr>
                <w:rFonts w:cs="Calibri"/>
                <w:iCs/>
              </w:rPr>
            </w:pPr>
            <w:r w:rsidRPr="0093694B">
              <w:rPr>
                <w:rFonts w:cs="Calibri"/>
                <w:bCs/>
                <w:iCs/>
              </w:rPr>
              <w:t>Autodiagnoza oraz znalezienie optymalnych dla siebie sposobów radzenia sobie ze stresem i wypaleniem</w:t>
            </w:r>
            <w:r w:rsidR="00093C0B" w:rsidRPr="0093694B">
              <w:rPr>
                <w:rFonts w:cs="Calibri"/>
                <w:bCs/>
                <w:iCs/>
              </w:rPr>
              <w:t>. Wypalenie zawodowe jako następstwo długotrwałego stresu.</w:t>
            </w:r>
          </w:p>
          <w:p w14:paraId="0D5FDFF1" w14:textId="39B0A374" w:rsidR="00396417" w:rsidRPr="0093694B" w:rsidRDefault="00396417" w:rsidP="00846272">
            <w:pPr>
              <w:pStyle w:val="Akapitzlist"/>
              <w:numPr>
                <w:ilvl w:val="1"/>
                <w:numId w:val="74"/>
              </w:numPr>
              <w:rPr>
                <w:rFonts w:cs="Calibri"/>
                <w:iCs/>
              </w:rPr>
            </w:pPr>
            <w:r w:rsidRPr="0093694B">
              <w:rPr>
                <w:rFonts w:cs="Calibri"/>
                <w:iCs/>
              </w:rPr>
              <w:t>Narzędzia do autodiagnozy</w:t>
            </w:r>
            <w:r w:rsidR="00757868">
              <w:rPr>
                <w:rFonts w:cs="Calibri"/>
                <w:iCs/>
              </w:rPr>
              <w:t>.</w:t>
            </w:r>
          </w:p>
          <w:p w14:paraId="7E9BC875" w14:textId="7314DCCE" w:rsidR="00396417" w:rsidRPr="0093694B" w:rsidRDefault="00396417" w:rsidP="005824B6">
            <w:pPr>
              <w:numPr>
                <w:ilvl w:val="0"/>
                <w:numId w:val="47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iCs/>
              </w:rPr>
              <w:t>Indywidualna profilaktyka an</w:t>
            </w:r>
            <w:r w:rsidR="006A4EBD">
              <w:rPr>
                <w:rFonts w:cs="Calibri"/>
                <w:iCs/>
              </w:rPr>
              <w:t>t</w:t>
            </w:r>
            <w:r w:rsidRPr="0093694B">
              <w:rPr>
                <w:rFonts w:cs="Calibri"/>
                <w:iCs/>
              </w:rPr>
              <w:t>y-</w:t>
            </w:r>
            <w:proofErr w:type="spellStart"/>
            <w:r w:rsidRPr="0093694B">
              <w:rPr>
                <w:rFonts w:cs="Calibri"/>
                <w:iCs/>
              </w:rPr>
              <w:t>wyp</w:t>
            </w:r>
            <w:r w:rsidR="003F0537" w:rsidRPr="0093694B">
              <w:rPr>
                <w:rFonts w:cs="Calibri"/>
                <w:iCs/>
              </w:rPr>
              <w:t>a</w:t>
            </w:r>
            <w:r w:rsidRPr="0093694B">
              <w:rPr>
                <w:rFonts w:cs="Calibri"/>
                <w:iCs/>
              </w:rPr>
              <w:t>leniowa</w:t>
            </w:r>
            <w:proofErr w:type="spellEnd"/>
            <w:r w:rsidRPr="0093694B">
              <w:rPr>
                <w:rFonts w:cs="Calibri"/>
                <w:bCs/>
                <w:iCs/>
              </w:rPr>
              <w:t xml:space="preserve"> </w:t>
            </w:r>
          </w:p>
          <w:p w14:paraId="37B69A6A" w14:textId="75F3372A" w:rsidR="00396417" w:rsidRPr="0093694B" w:rsidRDefault="00396417" w:rsidP="00846272">
            <w:pPr>
              <w:pStyle w:val="Akapitzlist"/>
              <w:numPr>
                <w:ilvl w:val="1"/>
                <w:numId w:val="75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bCs/>
                <w:iCs/>
              </w:rPr>
              <w:t>Profilaktyka wypalenia zawodowego, w tym budowanie sieci wsparcia w miejscu pracy,</w:t>
            </w:r>
            <w:r w:rsidR="000A79DD">
              <w:rPr>
                <w:rFonts w:cs="Calibri"/>
                <w:bCs/>
                <w:iCs/>
              </w:rPr>
              <w:t xml:space="preserve"> </w:t>
            </w:r>
            <w:r w:rsidRPr="0093694B">
              <w:rPr>
                <w:rFonts w:cs="Calibri"/>
                <w:bCs/>
                <w:iCs/>
              </w:rPr>
              <w:t xml:space="preserve">zrównoważony styl </w:t>
            </w:r>
            <w:r w:rsidR="003F0537" w:rsidRPr="0093694B">
              <w:rPr>
                <w:rFonts w:cs="Calibri"/>
                <w:bCs/>
                <w:iCs/>
              </w:rPr>
              <w:t>życia</w:t>
            </w:r>
            <w:r w:rsidRPr="0093694B">
              <w:rPr>
                <w:rFonts w:cs="Calibri"/>
                <w:bCs/>
                <w:iCs/>
              </w:rPr>
              <w:t xml:space="preserve"> i </w:t>
            </w:r>
            <w:proofErr w:type="spellStart"/>
            <w:r w:rsidRPr="0093694B">
              <w:rPr>
                <w:rFonts w:cs="Calibri"/>
                <w:bCs/>
                <w:iCs/>
              </w:rPr>
              <w:t>sel</w:t>
            </w:r>
            <w:r w:rsidR="003F0537" w:rsidRPr="0093694B">
              <w:rPr>
                <w:rFonts w:cs="Calibri"/>
                <w:bCs/>
                <w:iCs/>
              </w:rPr>
              <w:t>f</w:t>
            </w:r>
            <w:r w:rsidRPr="0093694B">
              <w:rPr>
                <w:rFonts w:cs="Calibri"/>
                <w:bCs/>
                <w:iCs/>
              </w:rPr>
              <w:t>-care</w:t>
            </w:r>
            <w:proofErr w:type="spellEnd"/>
            <w:r w:rsidR="00757868">
              <w:rPr>
                <w:rFonts w:cs="Calibri"/>
                <w:bCs/>
                <w:iCs/>
              </w:rPr>
              <w:t>.</w:t>
            </w:r>
          </w:p>
          <w:p w14:paraId="081217AB" w14:textId="487B6185" w:rsidR="00396417" w:rsidRPr="0093694B" w:rsidRDefault="00396417" w:rsidP="00846272">
            <w:pPr>
              <w:pStyle w:val="Akapitzlist"/>
              <w:numPr>
                <w:ilvl w:val="1"/>
                <w:numId w:val="75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bCs/>
                <w:iCs/>
              </w:rPr>
              <w:t>Sposoby radzenia sobie z krótko i długofalowymi skutkami stresu i wypalenia zawodowego</w:t>
            </w:r>
            <w:r w:rsidR="00757868">
              <w:rPr>
                <w:rFonts w:cs="Calibri"/>
                <w:bCs/>
                <w:iCs/>
              </w:rPr>
              <w:t>.</w:t>
            </w:r>
          </w:p>
          <w:p w14:paraId="5C163C91" w14:textId="77777777" w:rsidR="00547058" w:rsidRPr="0093694B" w:rsidRDefault="00396417" w:rsidP="00846272">
            <w:pPr>
              <w:pStyle w:val="Akapitzlist"/>
              <w:numPr>
                <w:ilvl w:val="1"/>
                <w:numId w:val="75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bCs/>
                <w:iCs/>
              </w:rPr>
              <w:t>Budowanie i utrzymanie wysokiej motywacji zawodowej. Wewnętrzna siła i automotywacja.</w:t>
            </w:r>
          </w:p>
          <w:p w14:paraId="6E3719DD" w14:textId="77777777" w:rsidR="00547058" w:rsidRPr="0093694B" w:rsidRDefault="00547058" w:rsidP="00846272">
            <w:pPr>
              <w:pStyle w:val="Akapitzlist"/>
              <w:numPr>
                <w:ilvl w:val="1"/>
                <w:numId w:val="75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bCs/>
                <w:iCs/>
              </w:rPr>
              <w:t xml:space="preserve">Techniki rozładowujące stres – praca z ciałem, treningi relaksacyjne, ćwiczenia oddechowe, higiena psychiczna </w:t>
            </w:r>
            <w:r w:rsidRPr="0093694B">
              <w:rPr>
                <w:rFonts w:cs="Calibri"/>
                <w:iCs/>
              </w:rPr>
              <w:t xml:space="preserve">(część praktyczna spotkania). </w:t>
            </w:r>
          </w:p>
          <w:p w14:paraId="253A83CE" w14:textId="34D3C26D" w:rsidR="00547058" w:rsidRPr="0093694B" w:rsidRDefault="00547058" w:rsidP="00846272">
            <w:pPr>
              <w:pStyle w:val="Akapitzlist"/>
              <w:numPr>
                <w:ilvl w:val="1"/>
                <w:numId w:val="75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iCs/>
              </w:rPr>
              <w:t>Monitorowanie postępów i utrzymywanie zdrowego stanu emocjonalnego</w:t>
            </w:r>
            <w:r w:rsidR="00757868">
              <w:rPr>
                <w:rFonts w:cs="Calibri"/>
                <w:iCs/>
              </w:rPr>
              <w:t>.</w:t>
            </w:r>
          </w:p>
          <w:p w14:paraId="3583044E" w14:textId="11705344" w:rsidR="00547058" w:rsidRPr="0093694B" w:rsidRDefault="00547058" w:rsidP="00846272">
            <w:pPr>
              <w:pStyle w:val="Akapitzlist"/>
              <w:numPr>
                <w:ilvl w:val="1"/>
                <w:numId w:val="75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iCs/>
              </w:rPr>
              <w:t>Udzielanie odpowiedzi na pytania uczestników (część praktyczna spotkania). Udostępnienie uczestnikom materiałów edukacyjnych w zakresie objętym tematy</w:t>
            </w:r>
            <w:r w:rsidR="000A79DD">
              <w:rPr>
                <w:rFonts w:cs="Calibri"/>
                <w:iCs/>
              </w:rPr>
              <w:t>ką</w:t>
            </w:r>
            <w:r w:rsidRPr="0093694B">
              <w:rPr>
                <w:rFonts w:cs="Calibri"/>
                <w:iCs/>
              </w:rPr>
              <w:t xml:space="preserve"> szkolenia.</w:t>
            </w:r>
          </w:p>
          <w:p w14:paraId="47976206" w14:textId="54DC25A4" w:rsidR="00DA1329" w:rsidRPr="0093694B" w:rsidRDefault="008468D4" w:rsidP="00317A28">
            <w:pPr>
              <w:rPr>
                <w:rFonts w:cs="Calibri"/>
                <w:iCs/>
              </w:rPr>
            </w:pPr>
            <w:r w:rsidRPr="00846272">
              <w:rPr>
                <w:rFonts w:cs="Calibri"/>
                <w:iCs/>
                <w:u w:val="single"/>
              </w:rPr>
              <w:t>Szczegółowy</w:t>
            </w:r>
            <w:r w:rsidR="00DA1329" w:rsidRPr="00846272">
              <w:rPr>
                <w:rFonts w:cs="Calibri"/>
                <w:iCs/>
                <w:u w:val="single"/>
              </w:rPr>
              <w:t xml:space="preserve"> program szkolenia </w:t>
            </w:r>
            <w:r w:rsidRPr="00846272">
              <w:rPr>
                <w:rFonts w:cs="Calibri"/>
                <w:iCs/>
                <w:u w:val="single"/>
              </w:rPr>
              <w:t>uwzgledniając</w:t>
            </w:r>
            <w:r w:rsidR="00757868" w:rsidRPr="00846272">
              <w:rPr>
                <w:rFonts w:cs="Calibri"/>
                <w:iCs/>
                <w:u w:val="single"/>
              </w:rPr>
              <w:t>y</w:t>
            </w:r>
            <w:r w:rsidRPr="00846272">
              <w:rPr>
                <w:rFonts w:cs="Calibri"/>
                <w:iCs/>
                <w:u w:val="single"/>
              </w:rPr>
              <w:t xml:space="preserve"> powyższe zagadnienia przygotowuje Zleceniobiorca</w:t>
            </w:r>
            <w:r w:rsidR="00317A28" w:rsidRPr="0093694B">
              <w:rPr>
                <w:rFonts w:cs="Calibri"/>
                <w:iCs/>
              </w:rPr>
              <w:t>.</w:t>
            </w:r>
            <w:r w:rsidR="002914CD" w:rsidRPr="0093694B">
              <w:rPr>
                <w:rFonts w:cs="Calibri"/>
                <w:iCs/>
              </w:rPr>
              <w:t xml:space="preserve"> Szkolenie powinno </w:t>
            </w:r>
            <w:r w:rsidR="00FB38D3" w:rsidRPr="0093694B">
              <w:rPr>
                <w:rFonts w:cs="Calibri"/>
                <w:iCs/>
              </w:rPr>
              <w:t>zawierać</w:t>
            </w:r>
            <w:r w:rsidR="002914CD" w:rsidRPr="0093694B">
              <w:rPr>
                <w:rFonts w:cs="Calibri"/>
                <w:iCs/>
              </w:rPr>
              <w:t xml:space="preserve"> przewagę aspektów praktycznych nad teoretycznymi.</w:t>
            </w:r>
          </w:p>
          <w:p w14:paraId="05D38870" w14:textId="77777777" w:rsidR="00317A28" w:rsidRPr="0093694B" w:rsidRDefault="00317A28" w:rsidP="00317A28">
            <w:pPr>
              <w:rPr>
                <w:rFonts w:cs="Calibri"/>
                <w:iCs/>
              </w:rPr>
            </w:pPr>
          </w:p>
          <w:p w14:paraId="57EA3E94" w14:textId="2DC4C171" w:rsidR="00D03A1C" w:rsidRPr="0093694B" w:rsidRDefault="00D03A1C" w:rsidP="00D03A1C">
            <w:pPr>
              <w:jc w:val="both"/>
              <w:rPr>
                <w:rFonts w:cs="Calibri"/>
                <w:bCs/>
                <w:iCs/>
              </w:rPr>
            </w:pPr>
            <w:r w:rsidRPr="0092311E">
              <w:rPr>
                <w:rFonts w:cs="Calibri"/>
                <w:b/>
                <w:iCs/>
              </w:rPr>
              <w:t xml:space="preserve">Realizacja usługi </w:t>
            </w:r>
            <w:r w:rsidR="00426C01" w:rsidRPr="0092311E">
              <w:rPr>
                <w:rFonts w:cs="Calibri"/>
                <w:b/>
                <w:iCs/>
              </w:rPr>
              <w:t>trenerskiej</w:t>
            </w:r>
            <w:r w:rsidR="00426C01" w:rsidRPr="0093694B">
              <w:rPr>
                <w:rFonts w:cs="Calibri"/>
                <w:bCs/>
                <w:iCs/>
              </w:rPr>
              <w:t xml:space="preserve"> </w:t>
            </w:r>
            <w:r w:rsidRPr="0093694B">
              <w:rPr>
                <w:rFonts w:cs="Calibri"/>
                <w:bCs/>
                <w:iCs/>
              </w:rPr>
              <w:t>ma polegać w szczególności na:</w:t>
            </w:r>
          </w:p>
          <w:p w14:paraId="506F8909" w14:textId="34A82662" w:rsidR="00D03A1C" w:rsidRPr="0093694B" w:rsidRDefault="00D03A1C" w:rsidP="005824B6">
            <w:pPr>
              <w:pStyle w:val="Akapitzlist"/>
              <w:numPr>
                <w:ilvl w:val="0"/>
                <w:numId w:val="71"/>
              </w:numPr>
              <w:rPr>
                <w:rFonts w:cs="Calibri"/>
                <w:bCs/>
                <w:iCs/>
              </w:rPr>
            </w:pPr>
            <w:r w:rsidRPr="0092311E">
              <w:rPr>
                <w:rFonts w:cs="Calibri"/>
                <w:b/>
                <w:iCs/>
              </w:rPr>
              <w:t>opracowaniu szczegółowego programu s</w:t>
            </w:r>
            <w:r w:rsidR="008E10DB" w:rsidRPr="0092311E">
              <w:rPr>
                <w:rFonts w:cs="Calibri"/>
                <w:b/>
                <w:iCs/>
              </w:rPr>
              <w:t>zkolenia</w:t>
            </w:r>
            <w:r w:rsidR="008E10DB" w:rsidRPr="0093694B">
              <w:rPr>
                <w:rFonts w:cs="Calibri"/>
                <w:bCs/>
                <w:iCs/>
              </w:rPr>
              <w:t xml:space="preserve"> </w:t>
            </w:r>
            <w:r w:rsidRPr="0093694B">
              <w:rPr>
                <w:rFonts w:cs="Calibri"/>
                <w:bCs/>
                <w:iCs/>
              </w:rPr>
              <w:t>zgodnie z powyższymi założeniami oraz bieżącym kontakcie Wykonawcy z Zamawiającym w zakresie programu s</w:t>
            </w:r>
            <w:r w:rsidR="008E10DB" w:rsidRPr="0093694B">
              <w:rPr>
                <w:rFonts w:cs="Calibri"/>
                <w:bCs/>
                <w:iCs/>
              </w:rPr>
              <w:t xml:space="preserve">zkolenia </w:t>
            </w:r>
            <w:r w:rsidRPr="0093694B">
              <w:rPr>
                <w:rFonts w:cs="Calibri"/>
                <w:bCs/>
                <w:iCs/>
              </w:rPr>
              <w:t xml:space="preserve">i ostatecznej akceptacji programu przez Zamawiającego; </w:t>
            </w:r>
          </w:p>
          <w:p w14:paraId="034BC1B5" w14:textId="1C9CD62D" w:rsidR="005824B6" w:rsidRPr="0093694B" w:rsidRDefault="00317A28" w:rsidP="005824B6">
            <w:pPr>
              <w:pStyle w:val="Akapitzlist"/>
              <w:numPr>
                <w:ilvl w:val="0"/>
                <w:numId w:val="71"/>
              </w:numPr>
              <w:rPr>
                <w:rFonts w:cs="Calibri"/>
                <w:bCs/>
                <w:iCs/>
              </w:rPr>
            </w:pPr>
            <w:r w:rsidRPr="0092311E">
              <w:rPr>
                <w:rFonts w:cs="Calibri"/>
                <w:b/>
                <w:iCs/>
              </w:rPr>
              <w:t xml:space="preserve">przygotowaniu materiałów </w:t>
            </w:r>
            <w:r w:rsidR="009E5204" w:rsidRPr="0092311E">
              <w:rPr>
                <w:rFonts w:cs="Calibri"/>
                <w:b/>
                <w:iCs/>
              </w:rPr>
              <w:t>dydaktycznych</w:t>
            </w:r>
            <w:r w:rsidRPr="0093694B">
              <w:rPr>
                <w:rFonts w:cs="Calibri"/>
                <w:bCs/>
                <w:iCs/>
              </w:rPr>
              <w:t xml:space="preserve"> dla uczestników szkolenia</w:t>
            </w:r>
            <w:r w:rsidR="00757868">
              <w:rPr>
                <w:rFonts w:cs="Calibri"/>
                <w:bCs/>
                <w:iCs/>
              </w:rPr>
              <w:t>;</w:t>
            </w:r>
          </w:p>
          <w:p w14:paraId="3C3E1E0A" w14:textId="2F89346C" w:rsidR="007352F4" w:rsidRPr="0093694B" w:rsidRDefault="00317A28" w:rsidP="005824B6">
            <w:pPr>
              <w:pStyle w:val="Akapitzlist"/>
              <w:numPr>
                <w:ilvl w:val="0"/>
                <w:numId w:val="71"/>
              </w:numPr>
              <w:rPr>
                <w:rFonts w:cs="Calibri"/>
                <w:bCs/>
                <w:iCs/>
              </w:rPr>
            </w:pPr>
            <w:r w:rsidRPr="0092311E">
              <w:rPr>
                <w:rFonts w:cs="Calibri"/>
                <w:b/>
                <w:iCs/>
              </w:rPr>
              <w:t xml:space="preserve">realizacji szkolenia poprzez zapewnienie </w:t>
            </w:r>
            <w:r w:rsidR="005824B6" w:rsidRPr="0092311E">
              <w:rPr>
                <w:rFonts w:cs="Calibri"/>
                <w:b/>
                <w:iCs/>
              </w:rPr>
              <w:t>2</w:t>
            </w:r>
            <w:r w:rsidR="009F7723" w:rsidRPr="0092311E">
              <w:rPr>
                <w:rFonts w:cs="Calibri"/>
                <w:b/>
                <w:iCs/>
              </w:rPr>
              <w:t xml:space="preserve"> </w:t>
            </w:r>
            <w:r w:rsidR="00426C01" w:rsidRPr="0092311E">
              <w:rPr>
                <w:rFonts w:cs="Calibri"/>
                <w:b/>
                <w:iCs/>
              </w:rPr>
              <w:t>trener</w:t>
            </w:r>
            <w:r w:rsidR="009F7723" w:rsidRPr="0092311E">
              <w:rPr>
                <w:rFonts w:cs="Calibri"/>
                <w:b/>
                <w:iCs/>
              </w:rPr>
              <w:t>ów</w:t>
            </w:r>
            <w:r w:rsidR="00426C01" w:rsidRPr="0092311E">
              <w:rPr>
                <w:rFonts w:cs="Calibri"/>
                <w:b/>
                <w:iCs/>
              </w:rPr>
              <w:t xml:space="preserve"> </w:t>
            </w:r>
            <w:r w:rsidRPr="0092311E">
              <w:rPr>
                <w:rFonts w:cs="Calibri"/>
                <w:b/>
                <w:iCs/>
              </w:rPr>
              <w:t>prowadząc</w:t>
            </w:r>
            <w:r w:rsidR="009F7723" w:rsidRPr="0092311E">
              <w:rPr>
                <w:rFonts w:cs="Calibri"/>
                <w:b/>
                <w:iCs/>
              </w:rPr>
              <w:t>ych</w:t>
            </w:r>
            <w:r w:rsidR="00093C0B" w:rsidRPr="0093694B">
              <w:rPr>
                <w:rFonts w:cs="Calibri"/>
                <w:bCs/>
                <w:iCs/>
              </w:rPr>
              <w:t xml:space="preserve"> </w:t>
            </w:r>
            <w:r w:rsidRPr="0093694B">
              <w:rPr>
                <w:rFonts w:cs="Calibri"/>
                <w:bCs/>
                <w:iCs/>
              </w:rPr>
              <w:t xml:space="preserve"> szkolen</w:t>
            </w:r>
            <w:r w:rsidR="009F7723" w:rsidRPr="0093694B">
              <w:rPr>
                <w:rFonts w:cs="Calibri"/>
                <w:bCs/>
                <w:iCs/>
              </w:rPr>
              <w:t>ie</w:t>
            </w:r>
            <w:r w:rsidRPr="0093694B">
              <w:rPr>
                <w:rFonts w:cs="Calibri"/>
                <w:bCs/>
                <w:iCs/>
              </w:rPr>
              <w:t>. Zamawiający wymaga</w:t>
            </w:r>
            <w:r w:rsidR="00CB75F4" w:rsidRPr="0093694B">
              <w:rPr>
                <w:rFonts w:cs="Calibri"/>
                <w:bCs/>
                <w:iCs/>
              </w:rPr>
              <w:t>,</w:t>
            </w:r>
            <w:r w:rsidRPr="0093694B">
              <w:rPr>
                <w:rFonts w:cs="Calibri"/>
                <w:bCs/>
                <w:iCs/>
              </w:rPr>
              <w:t xml:space="preserve"> aby szkolenie było prowadzone przez </w:t>
            </w:r>
            <w:r w:rsidR="009F7723" w:rsidRPr="0093694B">
              <w:rPr>
                <w:rFonts w:cs="Calibri"/>
                <w:bCs/>
                <w:iCs/>
              </w:rPr>
              <w:t>dwie</w:t>
            </w:r>
            <w:r w:rsidRPr="0093694B">
              <w:rPr>
                <w:rFonts w:cs="Calibri"/>
                <w:bCs/>
                <w:iCs/>
              </w:rPr>
              <w:t xml:space="preserve"> osob</w:t>
            </w:r>
            <w:r w:rsidR="009F7723" w:rsidRPr="0093694B">
              <w:rPr>
                <w:rFonts w:cs="Calibri"/>
                <w:bCs/>
                <w:iCs/>
              </w:rPr>
              <w:t>y</w:t>
            </w:r>
            <w:r w:rsidRPr="0093694B">
              <w:rPr>
                <w:rFonts w:cs="Calibri"/>
                <w:bCs/>
                <w:iCs/>
              </w:rPr>
              <w:t>/</w:t>
            </w:r>
            <w:r w:rsidR="009F7723" w:rsidRPr="0093694B">
              <w:rPr>
                <w:rFonts w:cs="Calibri"/>
                <w:bCs/>
                <w:iCs/>
              </w:rPr>
              <w:t xml:space="preserve">dwóch </w:t>
            </w:r>
            <w:r w:rsidR="00CB75F4" w:rsidRPr="0093694B">
              <w:rPr>
                <w:rFonts w:cs="Calibri"/>
                <w:bCs/>
                <w:iCs/>
              </w:rPr>
              <w:t>trener</w:t>
            </w:r>
            <w:r w:rsidR="009F7723" w:rsidRPr="0093694B">
              <w:rPr>
                <w:rFonts w:cs="Calibri"/>
                <w:bCs/>
                <w:iCs/>
              </w:rPr>
              <w:t>ów</w:t>
            </w:r>
            <w:r w:rsidR="001D216C" w:rsidRPr="0093694B">
              <w:rPr>
                <w:rFonts w:cs="Calibri"/>
                <w:bCs/>
                <w:iCs/>
              </w:rPr>
              <w:t xml:space="preserve"> jednocześnie</w:t>
            </w:r>
            <w:r w:rsidRPr="0093694B">
              <w:rPr>
                <w:rFonts w:cs="Calibri"/>
                <w:bCs/>
                <w:iCs/>
              </w:rPr>
              <w:t xml:space="preserve">. </w:t>
            </w:r>
          </w:p>
        </w:tc>
      </w:tr>
      <w:tr w:rsidR="0093694B" w:rsidRPr="0093694B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 w:rsidRPr="0093694B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 w:rsidR="001F220F" w:rsidRPr="0093694B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1D633" w14:textId="06D04599" w:rsidR="005824B6" w:rsidRPr="0093694B" w:rsidRDefault="0087503D" w:rsidP="001B55E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1</w:t>
            </w:r>
            <w:r w:rsidR="00C8507E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D63CF7" w:rsidRPr="0093694B">
              <w:rPr>
                <w:rFonts w:asciiTheme="minorHAnsi" w:hAnsiTheme="minorHAnsi" w:cstheme="minorHAnsi"/>
                <w:b/>
                <w:bCs/>
                <w:iCs/>
              </w:rPr>
              <w:t>szkoleni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e</w:t>
            </w:r>
            <w:r w:rsidR="00D63CF7" w:rsidRPr="0093694B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170082" w:rsidRPr="0093694B">
              <w:rPr>
                <w:rFonts w:asciiTheme="minorHAnsi" w:hAnsiTheme="minorHAnsi" w:cstheme="minorHAnsi"/>
                <w:b/>
                <w:bCs/>
                <w:iCs/>
              </w:rPr>
              <w:t>2-dniow</w:t>
            </w:r>
            <w:r w:rsidR="00D63CF7" w:rsidRPr="0093694B">
              <w:rPr>
                <w:rFonts w:asciiTheme="minorHAnsi" w:hAnsiTheme="minorHAnsi" w:cstheme="minorHAnsi"/>
                <w:b/>
                <w:bCs/>
                <w:iCs/>
              </w:rPr>
              <w:t>e</w:t>
            </w:r>
            <w:r w:rsidR="00170082" w:rsidRPr="0093694B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317A28" w:rsidRPr="0093694B">
              <w:rPr>
                <w:rFonts w:asciiTheme="minorHAnsi" w:hAnsiTheme="minorHAnsi" w:cstheme="minorHAnsi"/>
                <w:b/>
                <w:bCs/>
                <w:iCs/>
              </w:rPr>
              <w:t>w formie stacjonarnej</w:t>
            </w:r>
          </w:p>
          <w:p w14:paraId="4D12895F" w14:textId="0FBCC5CE" w:rsidR="00317A28" w:rsidRPr="0093694B" w:rsidRDefault="00666EAC" w:rsidP="001B55E5">
            <w:pPr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 xml:space="preserve">liczba osób biorących udział w </w:t>
            </w:r>
            <w:r w:rsidR="00841404" w:rsidRPr="0093694B">
              <w:rPr>
                <w:rFonts w:asciiTheme="minorHAnsi" w:hAnsiTheme="minorHAnsi" w:cstheme="minorHAnsi"/>
                <w:iCs/>
              </w:rPr>
              <w:t xml:space="preserve">jednym szkoleniu </w:t>
            </w:r>
            <w:r w:rsidR="00F93782" w:rsidRPr="0093694B">
              <w:rPr>
                <w:rFonts w:asciiTheme="minorHAnsi" w:hAnsiTheme="minorHAnsi" w:cstheme="minorHAnsi"/>
                <w:iCs/>
              </w:rPr>
              <w:t xml:space="preserve">2-dniowym - </w:t>
            </w:r>
            <w:r w:rsidRPr="0093694B">
              <w:rPr>
                <w:rFonts w:asciiTheme="minorHAnsi" w:hAnsiTheme="minorHAnsi" w:cstheme="minorHAnsi"/>
                <w:iCs/>
              </w:rPr>
              <w:t>m</w:t>
            </w:r>
            <w:r w:rsidR="00CD440C" w:rsidRPr="0093694B">
              <w:rPr>
                <w:rFonts w:asciiTheme="minorHAnsi" w:hAnsiTheme="minorHAnsi" w:cstheme="minorHAnsi"/>
                <w:iCs/>
              </w:rPr>
              <w:t>ax</w:t>
            </w:r>
            <w:r w:rsidRPr="0093694B">
              <w:rPr>
                <w:rFonts w:asciiTheme="minorHAnsi" w:hAnsiTheme="minorHAnsi" w:cstheme="minorHAnsi"/>
                <w:iCs/>
              </w:rPr>
              <w:t>. 18 osób</w:t>
            </w:r>
            <w:r w:rsidR="0087503D">
              <w:rPr>
                <w:rFonts w:asciiTheme="minorHAnsi" w:hAnsiTheme="minorHAnsi" w:cstheme="minorHAnsi"/>
                <w:iCs/>
              </w:rPr>
              <w:t>.</w:t>
            </w:r>
          </w:p>
        </w:tc>
      </w:tr>
      <w:tr w:rsidR="0093694B" w:rsidRPr="0093694B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325339DA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 w:rsidRPr="0093694B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1C111" w14:textId="2E5B9132" w:rsidR="005824B6" w:rsidRPr="0093694B" w:rsidRDefault="00F93782" w:rsidP="00093C0B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Z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amawiający zakłada, że </w:t>
            </w:r>
            <w:r w:rsidR="002914CD" w:rsidRPr="0093694B">
              <w:rPr>
                <w:rFonts w:asciiTheme="minorHAnsi" w:hAnsiTheme="minorHAnsi" w:cstheme="minorHAnsi"/>
                <w:bCs/>
                <w:iCs/>
                <w:szCs w:val="22"/>
              </w:rPr>
              <w:t>szkoleni</w:t>
            </w:r>
            <w:r w:rsidR="001230D2">
              <w:rPr>
                <w:rFonts w:asciiTheme="minorHAnsi" w:hAnsiTheme="minorHAnsi" w:cstheme="minorHAnsi"/>
                <w:bCs/>
                <w:iCs/>
                <w:szCs w:val="22"/>
              </w:rPr>
              <w:t>e</w:t>
            </w:r>
            <w:r w:rsidR="002914CD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odb</w:t>
            </w:r>
            <w:r w:rsidR="002914CD" w:rsidRPr="0093694B">
              <w:rPr>
                <w:rFonts w:asciiTheme="minorHAnsi" w:hAnsiTheme="minorHAnsi" w:cstheme="minorHAnsi"/>
                <w:bCs/>
                <w:iCs/>
                <w:szCs w:val="22"/>
              </w:rPr>
              <w:t>ywać się będ</w:t>
            </w:r>
            <w:r w:rsidR="001230D2">
              <w:rPr>
                <w:rFonts w:asciiTheme="minorHAnsi" w:hAnsiTheme="minorHAnsi" w:cstheme="minorHAnsi"/>
                <w:bCs/>
                <w:iCs/>
                <w:szCs w:val="22"/>
              </w:rPr>
              <w:t>zie</w:t>
            </w:r>
            <w:r w:rsidR="002914CD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godzinach </w:t>
            </w:r>
            <w:r w:rsidR="009A1BA5" w:rsidRPr="0093694B">
              <w:rPr>
                <w:rFonts w:asciiTheme="minorHAnsi" w:hAnsiTheme="minorHAnsi" w:cstheme="minorHAnsi"/>
                <w:bCs/>
                <w:iCs/>
                <w:szCs w:val="22"/>
              </w:rPr>
              <w:t>08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:00 - 1</w:t>
            </w:r>
            <w:r w:rsidR="009A1BA5" w:rsidRPr="0093694B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  <w:r w:rsidR="009A1BA5" w:rsidRPr="0093694B">
              <w:rPr>
                <w:rFonts w:asciiTheme="minorHAnsi" w:hAnsiTheme="minorHAnsi" w:cstheme="minorHAnsi"/>
                <w:bCs/>
                <w:iCs/>
                <w:szCs w:val="22"/>
              </w:rPr>
              <w:t>0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0 (+/-30 min.)</w:t>
            </w:r>
            <w:r w:rsidR="00093C0B"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2D1EC2FF" w14:textId="6E85D1E1" w:rsidR="00F93782" w:rsidRPr="0093694B" w:rsidRDefault="00DB4851" w:rsidP="00093C0B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2311E">
              <w:rPr>
                <w:rFonts w:asciiTheme="minorHAnsi" w:hAnsiTheme="minorHAnsi" w:cstheme="minorHAnsi"/>
                <w:b/>
                <w:iCs/>
                <w:szCs w:val="22"/>
              </w:rPr>
              <w:t>S</w:t>
            </w:r>
            <w:r w:rsidR="00093C0B" w:rsidRPr="0092311E">
              <w:rPr>
                <w:rFonts w:asciiTheme="minorHAnsi" w:hAnsiTheme="minorHAnsi" w:cstheme="minorHAnsi"/>
                <w:b/>
                <w:iCs/>
                <w:szCs w:val="22"/>
              </w:rPr>
              <w:t>zkoleni</w:t>
            </w:r>
            <w:r w:rsidR="00CD4D0B">
              <w:rPr>
                <w:rFonts w:asciiTheme="minorHAnsi" w:hAnsiTheme="minorHAnsi" w:cstheme="minorHAnsi"/>
                <w:b/>
                <w:iCs/>
                <w:szCs w:val="22"/>
              </w:rPr>
              <w:t>e</w:t>
            </w:r>
            <w:r w:rsidR="00093C0B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Pr="0092311E">
              <w:rPr>
                <w:rFonts w:asciiTheme="minorHAnsi" w:hAnsiTheme="minorHAnsi" w:cstheme="minorHAnsi"/>
                <w:b/>
                <w:iCs/>
                <w:szCs w:val="22"/>
              </w:rPr>
              <w:t>obejmuj</w:t>
            </w:r>
            <w:r w:rsidR="00CD4D0B">
              <w:rPr>
                <w:rFonts w:asciiTheme="minorHAnsi" w:hAnsiTheme="minorHAnsi" w:cstheme="minorHAnsi"/>
                <w:b/>
                <w:iCs/>
                <w:szCs w:val="22"/>
              </w:rPr>
              <w:t>e</w:t>
            </w:r>
            <w:r w:rsidR="00AF74D9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="00F93782" w:rsidRPr="0092311E">
              <w:rPr>
                <w:rFonts w:asciiTheme="minorHAnsi" w:hAnsiTheme="minorHAnsi" w:cstheme="minorHAnsi"/>
                <w:b/>
                <w:iCs/>
                <w:szCs w:val="22"/>
              </w:rPr>
              <w:t>2-dni szkoleniowe</w:t>
            </w:r>
            <w:r w:rsidR="0037473F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, z czego czas prowadzenia spotkania przez </w:t>
            </w:r>
            <w:r w:rsidR="00E666C2">
              <w:rPr>
                <w:rFonts w:asciiTheme="minorHAnsi" w:hAnsiTheme="minorHAnsi" w:cstheme="minorHAnsi"/>
                <w:bCs/>
                <w:iCs/>
                <w:szCs w:val="22"/>
              </w:rPr>
              <w:t xml:space="preserve">każdego z </w:t>
            </w:r>
            <w:r w:rsidR="00AC7A42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dwóch </w:t>
            </w:r>
            <w:r w:rsidR="0037473F" w:rsidRPr="0093694B">
              <w:rPr>
                <w:rFonts w:asciiTheme="minorHAnsi" w:hAnsiTheme="minorHAnsi" w:cstheme="minorHAnsi"/>
                <w:bCs/>
                <w:iCs/>
                <w:szCs w:val="22"/>
              </w:rPr>
              <w:t>Trener</w:t>
            </w:r>
            <w:r w:rsidR="00AC7A42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ów </w:t>
            </w:r>
            <w:r w:rsidR="0037473F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wyniesie </w:t>
            </w:r>
            <w:r w:rsidR="0037473F" w:rsidRPr="0093694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12 godzin zegarowych</w:t>
            </w:r>
            <w:r w:rsidR="0037473F"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93694B" w:rsidRPr="0093694B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lastRenderedPageBreak/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ACCE" w14:textId="77777777" w:rsidR="009672C6" w:rsidRPr="0093694B" w:rsidRDefault="009672C6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</w:p>
          <w:p w14:paraId="2BB527DF" w14:textId="4D08D3DA" w:rsidR="00666EAC" w:rsidRPr="0093694B" w:rsidRDefault="00F93782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 xml:space="preserve"> d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ni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 xml:space="preserve"> robocz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e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 xml:space="preserve"> x </w:t>
            </w:r>
            <w:r w:rsidR="0087503D">
              <w:rPr>
                <w:rFonts w:asciiTheme="minorHAnsi" w:hAnsiTheme="minorHAnsi" w:cstheme="minorHAnsi"/>
                <w:iCs/>
                <w:szCs w:val="22"/>
              </w:rPr>
              <w:t>1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 xml:space="preserve"> szkole</w:t>
            </w:r>
            <w:r w:rsidR="00DA5AD7" w:rsidRPr="0093694B">
              <w:rPr>
                <w:rFonts w:asciiTheme="minorHAnsi" w:hAnsiTheme="minorHAnsi" w:cstheme="minorHAnsi"/>
                <w:iCs/>
                <w:szCs w:val="22"/>
              </w:rPr>
              <w:t>ni</w:t>
            </w:r>
            <w:r w:rsidR="0087503D">
              <w:rPr>
                <w:rFonts w:asciiTheme="minorHAnsi" w:hAnsiTheme="minorHAnsi" w:cstheme="minorHAnsi"/>
                <w:iCs/>
                <w:szCs w:val="22"/>
              </w:rPr>
              <w:t>e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 xml:space="preserve"> = </w:t>
            </w:r>
            <w:r w:rsidR="0087503D"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="00DA5AD7" w:rsidRPr="0093694B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>dni roboc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z</w:t>
            </w:r>
            <w:r w:rsidR="0087503D">
              <w:rPr>
                <w:rFonts w:asciiTheme="minorHAnsi" w:hAnsiTheme="minorHAnsi" w:cstheme="minorHAnsi"/>
                <w:iCs/>
                <w:szCs w:val="22"/>
              </w:rPr>
              <w:t>e</w:t>
            </w:r>
          </w:p>
        </w:tc>
      </w:tr>
      <w:tr w:rsidR="0093694B" w:rsidRPr="0093694B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40DF0571" w:rsidR="00666EAC" w:rsidRPr="0093694B" w:rsidRDefault="00666EAC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93694B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93694B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 w:rsidRPr="0093694B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93694B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 w:rsidRPr="0093694B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93694B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 w:rsidRPr="0093694B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93694B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</w:t>
            </w:r>
            <w:r w:rsidR="00517373" w:rsidRPr="0093694B">
              <w:rPr>
                <w:rFonts w:asciiTheme="minorHAnsi" w:hAnsiTheme="minorHAnsi" w:cstheme="minorHAnsi"/>
                <w:bCs/>
                <w:iCs/>
                <w:szCs w:val="22"/>
              </w:rPr>
              <w:t>terminie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93694B" w:rsidRPr="0093694B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53DF99" w14:textId="636FB87C" w:rsidR="0092311E" w:rsidRDefault="00666EAC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DA6CA8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</w:t>
            </w:r>
            <w:r w:rsidR="000A79DD">
              <w:rPr>
                <w:rFonts w:asciiTheme="minorHAnsi" w:hAnsiTheme="minorHAnsi" w:cstheme="minorHAnsi"/>
                <w:bCs/>
                <w:iCs/>
                <w:szCs w:val="22"/>
              </w:rPr>
              <w:t>e</w:t>
            </w:r>
            <w:r w:rsidR="00DA6CA8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realizowane będzie w trybie stacjonarnym</w:t>
            </w:r>
            <w:r w:rsidR="0092311E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</w:p>
          <w:p w14:paraId="280F7C69" w14:textId="4D168F1B" w:rsidR="0092311E" w:rsidRDefault="0092311E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1 szkolenie 2-dniowe 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na terenie </w:t>
            </w:r>
            <w:r w:rsidR="0037473F" w:rsidRPr="0093694B">
              <w:rPr>
                <w:rFonts w:asciiTheme="minorHAnsi" w:hAnsiTheme="minorHAnsi" w:cstheme="minorHAnsi"/>
                <w:b/>
                <w:iCs/>
                <w:szCs w:val="22"/>
              </w:rPr>
              <w:t>powiatu karkonoskiego</w:t>
            </w:r>
            <w:r w:rsidR="00846272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="00846272" w:rsidRPr="00C15D5B">
              <w:rPr>
                <w:rFonts w:asciiTheme="minorHAnsi" w:hAnsiTheme="minorHAnsi" w:cstheme="minorHAnsi"/>
                <w:b/>
                <w:iCs/>
                <w:szCs w:val="22"/>
              </w:rPr>
              <w:t xml:space="preserve">lub </w:t>
            </w:r>
            <w:r w:rsidR="00D73A2E">
              <w:rPr>
                <w:rFonts w:asciiTheme="minorHAnsi" w:hAnsiTheme="minorHAnsi" w:cstheme="minorHAnsi"/>
                <w:b/>
                <w:iCs/>
                <w:szCs w:val="22"/>
              </w:rPr>
              <w:t>m</w:t>
            </w:r>
            <w:r w:rsidR="00846272" w:rsidRPr="00C15D5B">
              <w:rPr>
                <w:rFonts w:asciiTheme="minorHAnsi" w:hAnsiTheme="minorHAnsi" w:cstheme="minorHAnsi"/>
                <w:b/>
                <w:iCs/>
                <w:szCs w:val="22"/>
              </w:rPr>
              <w:t>iasta Jelenia Góra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; </w:t>
            </w:r>
          </w:p>
          <w:p w14:paraId="397A4DC4" w14:textId="77777777" w:rsidR="0092311E" w:rsidRDefault="0092311E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  <w:p w14:paraId="68F9D5DE" w14:textId="0567DC15" w:rsidR="0092311E" w:rsidRDefault="0092311E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zczegóło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wy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adres miejsc</w:t>
            </w:r>
            <w:r w:rsidR="0087503D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realizacji zamówienia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w powi</w:t>
            </w:r>
            <w:r w:rsidR="0087503D">
              <w:rPr>
                <w:rFonts w:asciiTheme="minorHAnsi" w:hAnsiTheme="minorHAnsi" w:cstheme="minorHAnsi"/>
                <w:bCs/>
                <w:iCs/>
                <w:szCs w:val="22"/>
              </w:rPr>
              <w:t>ecie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zost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anie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podan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y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342C3F" w:rsidRPr="00342C3F">
              <w:rPr>
                <w:rFonts w:asciiTheme="minorHAnsi" w:hAnsiTheme="minorHAnsi" w:cstheme="minorHAnsi"/>
                <w:bCs/>
                <w:iCs/>
                <w:szCs w:val="22"/>
              </w:rPr>
              <w:t xml:space="preserve">przez Zamawiającego 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niezwłocznie po jego ustaleniu.</w:t>
            </w:r>
          </w:p>
          <w:p w14:paraId="52816D0C" w14:textId="72DED0B6" w:rsidR="00666EAC" w:rsidRPr="0093694B" w:rsidRDefault="00666EAC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br/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93694B" w:rsidRPr="0093694B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5E36C5D9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Ramowy program wraz z proponowanym podziałem</w:t>
            </w:r>
            <w:r w:rsidR="00CA54C0" w:rsidRPr="0093694B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godzinowym s</w:t>
            </w:r>
            <w:r w:rsidR="00567C1D" w:rsidRPr="0093694B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CDDBF" w14:textId="4BEF55F6" w:rsidR="0037473F" w:rsidRPr="0093694B" w:rsidRDefault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  <w:u w:val="single"/>
              </w:rPr>
            </w:pPr>
            <w:r w:rsidRPr="0093694B">
              <w:rPr>
                <w:rFonts w:asciiTheme="minorHAnsi" w:hAnsiTheme="minorHAnsi" w:cstheme="minorHAnsi"/>
                <w:b/>
                <w:bCs/>
                <w:iCs/>
                <w:szCs w:val="22"/>
                <w:u w:val="single"/>
              </w:rPr>
              <w:t>Dzień I:</w:t>
            </w:r>
          </w:p>
          <w:p w14:paraId="510371BD" w14:textId="14AB190E" w:rsidR="00666EAC" w:rsidRPr="0093694B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</w:t>
            </w:r>
          </w:p>
          <w:p w14:paraId="0C2F4F28" w14:textId="1A7ABFC1" w:rsidR="00666EAC" w:rsidRPr="0093694B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:00-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 </w:t>
            </w:r>
            <w:r w:rsidR="00666EA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– </w:t>
            </w:r>
            <w:r w:rsidR="0058143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w</w:t>
            </w:r>
            <w:r w:rsidR="00666EA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pracownik DOPS</w:t>
            </w:r>
          </w:p>
          <w:p w14:paraId="0DFC6FCD" w14:textId="3E98458A" w:rsidR="00666EAC" w:rsidRPr="0093694B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:15-12:15 </w:t>
            </w:r>
            <w:r w:rsidR="0058143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– część merytoryczna I,</w:t>
            </w:r>
            <w:r w:rsidR="00666EA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p</w:t>
            </w:r>
            <w:r w:rsidR="00666EA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rowadzenie: 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2 </w:t>
            </w:r>
            <w:r w:rsidR="00CB75F4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ów</w:t>
            </w:r>
          </w:p>
          <w:p w14:paraId="2859BCC7" w14:textId="7A885D5C" w:rsidR="00666EAC" w:rsidRPr="0093694B" w:rsidRDefault="00666EAC">
            <w:pPr>
              <w:tabs>
                <w:tab w:val="left" w:pos="456"/>
              </w:tabs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12:15-1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- p</w:t>
            </w:r>
            <w:r w:rsidRPr="0093694B">
              <w:rPr>
                <w:rFonts w:asciiTheme="minorHAnsi" w:eastAsia="Times New Roman" w:hAnsiTheme="minorHAnsi" w:cstheme="minorHAnsi"/>
                <w:iCs/>
                <w:szCs w:val="22"/>
                <w:lang w:bidi="pl-PL"/>
              </w:rPr>
              <w:t>rzerwa na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67C1D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obiad</w:t>
            </w:r>
          </w:p>
          <w:p w14:paraId="15ABE5B4" w14:textId="77777777" w:rsidR="00666EAC" w:rsidRPr="0093694B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93694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II</w:t>
            </w:r>
          </w:p>
          <w:p w14:paraId="18FF7FBF" w14:textId="77777777" w:rsidR="005824B6" w:rsidRPr="0093694B" w:rsidRDefault="00666EAC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-1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5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–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część merytoryczna I</w:t>
            </w:r>
            <w:r w:rsidR="0058143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prowadzenie: 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2 </w:t>
            </w:r>
            <w:r w:rsidR="00CB75F4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ów</w:t>
            </w:r>
          </w:p>
          <w:p w14:paraId="51812ADE" w14:textId="4F81171B" w:rsidR="0037473F" w:rsidRPr="0093694B" w:rsidRDefault="00DA5AD7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Cs w:val="22"/>
                <w:u w:val="single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/>
                <w:iCs/>
                <w:szCs w:val="22"/>
                <w:u w:val="single"/>
                <w:lang w:bidi="pl-PL"/>
              </w:rPr>
              <w:br/>
            </w:r>
            <w:r w:rsidR="0037473F" w:rsidRPr="0093694B">
              <w:rPr>
                <w:rFonts w:asciiTheme="minorHAnsi" w:eastAsia="Times New Roman" w:hAnsiTheme="minorHAnsi" w:cstheme="minorHAnsi"/>
                <w:b/>
                <w:iCs/>
                <w:szCs w:val="22"/>
                <w:u w:val="single"/>
                <w:lang w:bidi="pl-PL"/>
              </w:rPr>
              <w:t>Dzień II:</w:t>
            </w:r>
          </w:p>
          <w:p w14:paraId="0F7733CA" w14:textId="77777777" w:rsidR="0037473F" w:rsidRPr="0093694B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bidi="pl-PL"/>
              </w:rPr>
              <w:t>Część I</w:t>
            </w:r>
          </w:p>
          <w:p w14:paraId="6B0A7990" w14:textId="77777777" w:rsidR="0037473F" w:rsidRPr="0093694B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08:00-08:15 – wprowadzenie: pracownik DOPS</w:t>
            </w:r>
          </w:p>
          <w:p w14:paraId="0BE67776" w14:textId="156EEDFF" w:rsidR="0037473F" w:rsidRPr="0093694B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08:15-12:15 – część merytoryczna II, prowadzenie: 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2 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ów</w:t>
            </w:r>
          </w:p>
          <w:p w14:paraId="23819DF2" w14:textId="77777777" w:rsidR="0037473F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12:15-13:00 - przerwa na obiad</w:t>
            </w:r>
          </w:p>
          <w:p w14:paraId="7D771095" w14:textId="77777777" w:rsidR="0093694B" w:rsidRPr="0093694B" w:rsidRDefault="0093694B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</w:p>
          <w:p w14:paraId="3E95099B" w14:textId="77777777" w:rsidR="0037473F" w:rsidRPr="0093694B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bidi="pl-PL"/>
              </w:rPr>
              <w:t>Część II</w:t>
            </w:r>
          </w:p>
          <w:p w14:paraId="39E1411B" w14:textId="5BAD1B17" w:rsidR="0037473F" w:rsidRPr="0093694B" w:rsidRDefault="0037473F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13:00-15:00 – część merytoryczna II, prowadzenie: 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2 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ów</w:t>
            </w:r>
          </w:p>
          <w:p w14:paraId="62CDB5CC" w14:textId="77777777" w:rsidR="009E5204" w:rsidRPr="0093694B" w:rsidRDefault="009E5204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</w:p>
          <w:p w14:paraId="2570CB9F" w14:textId="33F129D1" w:rsidR="00ED3DA9" w:rsidRPr="0093694B" w:rsidRDefault="00CF69DE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S</w:t>
            </w:r>
            <w:r w:rsidR="00ED3DA9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zkole</w:t>
            </w:r>
            <w:r w:rsidR="0087503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nie</w:t>
            </w:r>
            <w:r w:rsidR="00ED3DA9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realizowane 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dla </w:t>
            </w:r>
            <w:r w:rsidR="006A68E5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kadry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</w:t>
            </w:r>
            <w:r w:rsidR="009E5204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dolnośląskich </w:t>
            </w:r>
            <w:r w:rsidR="0087503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Ośrodków Wsparcia Ekonomii Społecznej</w:t>
            </w:r>
            <w:r w:rsidR="00E259D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</w:t>
            </w:r>
            <w:r w:rsidR="009E5204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powinno zawierać 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omówienie indywidu</w:t>
            </w:r>
            <w:r w:rsidR="009852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al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nych przypadków – wymiana doświadczeń</w:t>
            </w:r>
            <w:r w:rsidR="009E5204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i dobrych praktyk. </w:t>
            </w:r>
          </w:p>
          <w:p w14:paraId="23BFB878" w14:textId="65D02D04" w:rsidR="00CF69DE" w:rsidRPr="0093694B" w:rsidRDefault="00CF69DE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</w:p>
        </w:tc>
      </w:tr>
      <w:tr w:rsidR="0093694B" w:rsidRPr="0093694B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0F8F" w14:textId="04100D98" w:rsidR="00666EAC" w:rsidRDefault="002914CD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Metody aktywne</w:t>
            </w:r>
            <w:r w:rsidR="005824B6" w:rsidRPr="0093694B">
              <w:rPr>
                <w:rFonts w:asciiTheme="minorHAnsi" w:hAnsiTheme="minorHAnsi" w:cstheme="minorHAnsi"/>
                <w:iCs/>
                <w:szCs w:val="22"/>
              </w:rPr>
              <w:t xml:space="preserve">, warsztatowe aktywizujące uczestników szkolenia, połączone z mini-wykładami lub prezentacją multimedialną. Metody powinny obejmować </w:t>
            </w:r>
            <w:r w:rsidR="00846272">
              <w:rPr>
                <w:rFonts w:asciiTheme="minorHAnsi" w:hAnsiTheme="minorHAnsi" w:cstheme="minorHAnsi"/>
                <w:iCs/>
                <w:szCs w:val="22"/>
              </w:rPr>
              <w:t xml:space="preserve">w szczególności </w:t>
            </w:r>
            <w:r w:rsidR="005824B6" w:rsidRPr="0093694B">
              <w:rPr>
                <w:rFonts w:asciiTheme="minorHAnsi" w:hAnsiTheme="minorHAnsi" w:cstheme="minorHAnsi"/>
                <w:iCs/>
                <w:szCs w:val="22"/>
              </w:rPr>
              <w:t xml:space="preserve">ćwiczenia, dyskusje, </w:t>
            </w:r>
            <w:proofErr w:type="spellStart"/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>case</w:t>
            </w:r>
            <w:proofErr w:type="spellEnd"/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proofErr w:type="spellStart"/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>study</w:t>
            </w:r>
            <w:proofErr w:type="spellEnd"/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, symulacje, 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>dyskusj</w:t>
            </w:r>
            <w:r w:rsidR="00757868">
              <w:rPr>
                <w:rFonts w:asciiTheme="minorHAnsi" w:hAnsiTheme="minorHAnsi" w:cstheme="minorHAnsi"/>
                <w:iCs/>
                <w:szCs w:val="22"/>
              </w:rPr>
              <w:t>e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="00093C0B" w:rsidRPr="0093694B">
              <w:rPr>
                <w:rFonts w:asciiTheme="minorHAnsi" w:hAnsiTheme="minorHAnsi" w:cstheme="minorHAnsi"/>
                <w:iCs/>
                <w:szCs w:val="22"/>
              </w:rPr>
              <w:t>ćwiczenia,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 xml:space="preserve"> pyta</w:t>
            </w:r>
            <w:r w:rsidR="005824B6" w:rsidRPr="0093694B">
              <w:rPr>
                <w:rFonts w:asciiTheme="minorHAnsi" w:hAnsiTheme="minorHAnsi" w:cstheme="minorHAnsi"/>
                <w:iCs/>
                <w:szCs w:val="22"/>
              </w:rPr>
              <w:t>nia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 xml:space="preserve"> i odpowiedzi 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uczestników</w:t>
            </w:r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. Zajęcia powinny być dostosowane do specyfiki branży </w:t>
            </w:r>
            <w:r w:rsidR="009E5204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dolnośląskich </w:t>
            </w:r>
            <w:r w:rsidR="00A4142D">
              <w:rPr>
                <w:rFonts w:asciiTheme="minorHAnsi" w:hAnsiTheme="minorHAnsi" w:cstheme="minorHAnsi"/>
                <w:bCs/>
                <w:iCs/>
                <w:szCs w:val="22"/>
              </w:rPr>
              <w:t>O</w:t>
            </w:r>
            <w:r w:rsidR="005F181A">
              <w:rPr>
                <w:rFonts w:asciiTheme="minorHAnsi" w:hAnsiTheme="minorHAnsi" w:cstheme="minorHAnsi"/>
                <w:bCs/>
                <w:iCs/>
                <w:szCs w:val="22"/>
              </w:rPr>
              <w:t xml:space="preserve">środków </w:t>
            </w:r>
            <w:r w:rsidR="00A4142D">
              <w:rPr>
                <w:rFonts w:asciiTheme="minorHAnsi" w:hAnsiTheme="minorHAnsi" w:cstheme="minorHAnsi"/>
                <w:bCs/>
                <w:iCs/>
                <w:szCs w:val="22"/>
              </w:rPr>
              <w:t>W</w:t>
            </w:r>
            <w:r w:rsidR="005F181A">
              <w:rPr>
                <w:rFonts w:asciiTheme="minorHAnsi" w:hAnsiTheme="minorHAnsi" w:cstheme="minorHAnsi"/>
                <w:bCs/>
                <w:iCs/>
                <w:szCs w:val="22"/>
              </w:rPr>
              <w:t xml:space="preserve">sparcia </w:t>
            </w:r>
            <w:r w:rsidR="00A4142D">
              <w:rPr>
                <w:rFonts w:asciiTheme="minorHAnsi" w:hAnsiTheme="minorHAnsi" w:cstheme="minorHAnsi"/>
                <w:bCs/>
                <w:iCs/>
                <w:szCs w:val="22"/>
              </w:rPr>
              <w:t>E</w:t>
            </w:r>
            <w:r w:rsidR="005F181A">
              <w:rPr>
                <w:rFonts w:asciiTheme="minorHAnsi" w:hAnsiTheme="minorHAnsi" w:cstheme="minorHAnsi"/>
                <w:bCs/>
                <w:iCs/>
                <w:szCs w:val="22"/>
              </w:rPr>
              <w:t xml:space="preserve">konomii </w:t>
            </w:r>
            <w:r w:rsidR="00A4142D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5F181A">
              <w:rPr>
                <w:rFonts w:asciiTheme="minorHAnsi" w:hAnsiTheme="minorHAnsi" w:cstheme="minorHAnsi"/>
                <w:bCs/>
                <w:iCs/>
                <w:szCs w:val="22"/>
              </w:rPr>
              <w:t>połecznej</w:t>
            </w:r>
            <w:r w:rsidR="000B6036"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5CE7C363" w14:textId="4E49F6AF" w:rsidR="0093694B" w:rsidRPr="0093694B" w:rsidRDefault="0093694B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93694B" w:rsidRPr="0093694B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14E2136B" w:rsidR="002638C1" w:rsidRPr="0093694B" w:rsidRDefault="002638C1" w:rsidP="002638C1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>trener</w:t>
            </w:r>
            <w:r w:rsidR="000B1CD6" w:rsidRPr="0093694B">
              <w:rPr>
                <w:rFonts w:asciiTheme="minorHAnsi" w:hAnsiTheme="minorHAnsi" w:cstheme="minorHAnsi"/>
                <w:iCs/>
                <w:szCs w:val="22"/>
              </w:rPr>
              <w:t>ów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849E" w14:textId="77777777" w:rsidR="00E666C2" w:rsidRPr="00E666C2" w:rsidRDefault="0093694B" w:rsidP="00E666C2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Trener wskazany do prowadzenia szkolenia objęty jest niezbędnymi niżej opisanymi warunkami wykształcenia i doświadczenia zawodowego: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br/>
            </w:r>
            <w:r w:rsidR="00E666C2" w:rsidRPr="00E666C2">
              <w:rPr>
                <w:rFonts w:asciiTheme="minorHAnsi" w:hAnsiTheme="minorHAnsi" w:cstheme="minorHAnsi"/>
                <w:iCs/>
                <w:szCs w:val="22"/>
              </w:rPr>
              <w:t>Trenerzy wskazani do prowadzenia szkolenia objęci są niezbędnymi niżej opisanymi warunkami wykształcenia i doświadczenia zawodowego:</w:t>
            </w:r>
          </w:p>
          <w:p w14:paraId="66E15B2B" w14:textId="38E91352" w:rsidR="00E666C2" w:rsidRPr="00E666C2" w:rsidRDefault="00E666C2" w:rsidP="00E666C2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lastRenderedPageBreak/>
              <w:t>Ukończone studia wyższe o specjalności psychologia lub socjologia lub pedagogika (legitymowani</w:t>
            </w:r>
            <w:r w:rsidR="005F181A">
              <w:rPr>
                <w:rFonts w:asciiTheme="minorHAnsi" w:hAnsiTheme="minorHAnsi" w:cstheme="minorHAnsi"/>
                <w:iCs/>
                <w:szCs w:val="22"/>
              </w:rPr>
              <w:t>e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się stopniem magistra).</w:t>
            </w:r>
          </w:p>
          <w:p w14:paraId="6E735C2E" w14:textId="77777777" w:rsidR="00E666C2" w:rsidRPr="00E666C2" w:rsidRDefault="00E666C2" w:rsidP="00E666C2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>W przypadku ukończenia studiów wyższych na kierunkach innych, niż wymienione powyżej, wymagane jest uzupełnienie wykształcenia studiami podyplomowymi w zakresie psychologii.</w:t>
            </w:r>
          </w:p>
          <w:p w14:paraId="5AA44F90" w14:textId="77777777" w:rsidR="00E666C2" w:rsidRPr="00E666C2" w:rsidRDefault="00E666C2" w:rsidP="00E666C2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ORAZ</w:t>
            </w:r>
          </w:p>
          <w:p w14:paraId="6C8D3514" w14:textId="7DAA323D" w:rsidR="00E666C2" w:rsidRPr="00E666C2" w:rsidRDefault="00E666C2" w:rsidP="00E666C2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CA38A5">
              <w:rPr>
                <w:rFonts w:asciiTheme="minorHAnsi" w:hAnsiTheme="minorHAnsi" w:cstheme="minorHAnsi"/>
                <w:iCs/>
                <w:szCs w:val="22"/>
              </w:rPr>
              <w:t xml:space="preserve">minimum </w:t>
            </w:r>
            <w:r w:rsidR="005F181A" w:rsidRPr="00CA38A5"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Pr="00CA38A5">
              <w:rPr>
                <w:rFonts w:asciiTheme="minorHAnsi" w:hAnsiTheme="minorHAnsi" w:cstheme="minorHAnsi"/>
                <w:iCs/>
                <w:szCs w:val="22"/>
              </w:rPr>
              <w:t>- letnie, udokumentowane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doświadczenie trenerskie w prowadzeniu szkoleń i/lub warsztatów z zakresu rozwoju osobistego, tj. prowadzenie osobiście jako trener w ciągu ostatnich </w:t>
            </w:r>
            <w:r w:rsidR="0089237C">
              <w:rPr>
                <w:rFonts w:asciiTheme="minorHAnsi" w:hAnsiTheme="minorHAnsi" w:cstheme="minorHAnsi"/>
                <w:iCs/>
                <w:szCs w:val="22"/>
              </w:rPr>
              <w:t>3</w:t>
            </w:r>
            <w:r w:rsidR="0089237C" w:rsidRPr="00E666C2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lat przed upływem terminu składania ofert, </w:t>
            </w:r>
            <w:r w:rsidRPr="00E666C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obejmujących łącznie minimum 200</w:t>
            </w:r>
            <w:r w:rsidR="008A31E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Pr="00E666C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h dydaktycznych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z zakresu:</w:t>
            </w:r>
          </w:p>
          <w:p w14:paraId="003A4471" w14:textId="77777777" w:rsidR="00E666C2" w:rsidRPr="00E666C2" w:rsidRDefault="00E666C2" w:rsidP="00E666C2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wypalenia zawodowego lub </w:t>
            </w:r>
          </w:p>
          <w:p w14:paraId="56606669" w14:textId="01CF3EAD" w:rsidR="00E666C2" w:rsidRPr="00E666C2" w:rsidRDefault="00E666C2" w:rsidP="00E666C2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pracy z trudnym klientem w pomocy </w:t>
            </w:r>
            <w:r w:rsidR="00846272">
              <w:rPr>
                <w:rFonts w:asciiTheme="minorHAnsi" w:hAnsiTheme="minorHAnsi" w:cstheme="minorHAnsi"/>
                <w:iCs/>
                <w:szCs w:val="22"/>
              </w:rPr>
              <w:t xml:space="preserve">i integracji 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>społecznej</w:t>
            </w:r>
            <w:r w:rsidR="00846272">
              <w:rPr>
                <w:rFonts w:asciiTheme="minorHAnsi" w:hAnsiTheme="minorHAnsi" w:cstheme="minorHAnsi"/>
                <w:iCs/>
                <w:szCs w:val="22"/>
              </w:rPr>
              <w:t xml:space="preserve"> lub instancjach rynku pracy 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lub </w:t>
            </w:r>
          </w:p>
          <w:p w14:paraId="4B45AF4C" w14:textId="5A62EA52" w:rsidR="00E666C2" w:rsidRPr="00E666C2" w:rsidRDefault="00E666C2" w:rsidP="00E666C2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>radzeni</w:t>
            </w:r>
            <w:r w:rsidR="00A4142D">
              <w:rPr>
                <w:rFonts w:asciiTheme="minorHAnsi" w:hAnsiTheme="minorHAnsi" w:cstheme="minorHAnsi"/>
                <w:iCs/>
                <w:szCs w:val="22"/>
              </w:rPr>
              <w:t>a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sobie ze stresem lub</w:t>
            </w:r>
          </w:p>
          <w:p w14:paraId="4B62E714" w14:textId="44B32E57" w:rsidR="00E666C2" w:rsidRPr="00E666C2" w:rsidRDefault="00E666C2" w:rsidP="00E666C2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>prowadzeni</w:t>
            </w:r>
            <w:r w:rsidR="00A4142D">
              <w:rPr>
                <w:rFonts w:asciiTheme="minorHAnsi" w:hAnsiTheme="minorHAnsi" w:cstheme="minorHAnsi"/>
                <w:iCs/>
                <w:szCs w:val="22"/>
              </w:rPr>
              <w:t>a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proofErr w:type="spellStart"/>
            <w:r w:rsidRPr="00E666C2">
              <w:rPr>
                <w:rFonts w:asciiTheme="minorHAnsi" w:hAnsiTheme="minorHAnsi" w:cstheme="minorHAnsi"/>
                <w:iCs/>
                <w:szCs w:val="22"/>
              </w:rPr>
              <w:t>superwizji</w:t>
            </w:r>
            <w:proofErr w:type="spellEnd"/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pracy socjalnej</w:t>
            </w:r>
          </w:p>
          <w:p w14:paraId="625E5378" w14:textId="2C47B665" w:rsidR="0093694B" w:rsidRPr="0093694B" w:rsidRDefault="00E666C2" w:rsidP="00E666C2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             dla co najmniej 10 osobowych grup uczestników.</w:t>
            </w:r>
          </w:p>
          <w:p w14:paraId="61785B60" w14:textId="58A80F1D" w:rsidR="002638C1" w:rsidRPr="0093694B" w:rsidRDefault="002638C1" w:rsidP="00481B95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93694B" w:rsidRPr="0093694B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03098831" w:rsidR="002638C1" w:rsidRPr="0093694B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lastRenderedPageBreak/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E6CD" w14:textId="77777777" w:rsidR="002638C1" w:rsidRPr="0093694B" w:rsidRDefault="002638C1" w:rsidP="00061A5A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5809204F" w14:textId="586F5FCA" w:rsidR="002638C1" w:rsidRPr="0093694B" w:rsidRDefault="002638C1" w:rsidP="002B589D">
            <w:pPr>
              <w:widowControl/>
              <w:numPr>
                <w:ilvl w:val="0"/>
                <w:numId w:val="15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Zapewnienia </w:t>
            </w:r>
            <w:r w:rsidR="000B1CD6"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dwóch </w:t>
            </w:r>
            <w:r w:rsidR="00CB75F4"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trener</w:t>
            </w:r>
            <w:r w:rsidR="000B1CD6"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ów</w:t>
            </w:r>
            <w:r w:rsidR="00474CC7" w:rsidRPr="0093694B">
              <w:rPr>
                <w:rFonts w:asciiTheme="minorHAnsi" w:hAnsiTheme="minorHAnsi" w:cstheme="minorHAnsi"/>
                <w:iCs/>
                <w:szCs w:val="22"/>
              </w:rPr>
              <w:t xml:space="preserve"> (obecnych jednocześnie podczas szkolenia)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, spełniając</w:t>
            </w:r>
            <w:r w:rsidR="000B1CD6" w:rsidRPr="0093694B">
              <w:rPr>
                <w:rFonts w:asciiTheme="minorHAnsi" w:hAnsiTheme="minorHAnsi" w:cstheme="minorHAnsi"/>
                <w:iCs/>
                <w:szCs w:val="22"/>
              </w:rPr>
              <w:t>ych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 kryteria, o których mowa powyżej</w:t>
            </w:r>
            <w:r w:rsidR="00C05FAD" w:rsidRPr="0093694B"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</w:p>
          <w:p w14:paraId="6467DFF8" w14:textId="1A51E294" w:rsidR="002B589D" w:rsidRPr="0093694B" w:rsidRDefault="002638C1" w:rsidP="005824B6">
            <w:pPr>
              <w:widowControl/>
              <w:numPr>
                <w:ilvl w:val="0"/>
                <w:numId w:val="15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Przygotowania szczegółowego programu s</w:t>
            </w:r>
            <w:r w:rsidR="000539F9"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zkolenia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, który musi zostać opatrzony logotypami przekazanymi przez Zamawiającego (logo UE, FERS) wraz z nazwą i adresem Zamawiającego oraz danymi 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>trener</w:t>
            </w:r>
            <w:r w:rsidR="0052322A" w:rsidRPr="0093694B">
              <w:rPr>
                <w:rFonts w:asciiTheme="minorHAnsi" w:hAnsiTheme="minorHAnsi" w:cstheme="minorHAnsi"/>
                <w:iCs/>
                <w:szCs w:val="22"/>
              </w:rPr>
              <w:t>ów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, a następnie przesłanie tego dokumentu pocztą elektroniczną celem akceptacji przez Zamawiającego w terminie </w:t>
            </w:r>
            <w:r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do 7 dni kalendarzowych przed rozpoczęciem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 realizacji usługi</w:t>
            </w:r>
            <w:r w:rsidR="000B6036" w:rsidRPr="0093694B">
              <w:rPr>
                <w:rFonts w:asciiTheme="minorHAnsi" w:hAnsiTheme="minorHAnsi" w:cstheme="minorHAnsi"/>
                <w:iCs/>
                <w:szCs w:val="22"/>
              </w:rPr>
              <w:t>,</w:t>
            </w:r>
          </w:p>
          <w:p w14:paraId="5B07F88E" w14:textId="46411781" w:rsidR="00793D51" w:rsidRPr="0093694B" w:rsidRDefault="002638C1" w:rsidP="005824B6">
            <w:pPr>
              <w:widowControl/>
              <w:numPr>
                <w:ilvl w:val="0"/>
                <w:numId w:val="15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materiałów edukacyjnych, co najmniej w formie prezentacji multimedialnej </w:t>
            </w:r>
            <w:r w:rsidR="00061A5A"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oraz streszczenia zagadnień poruszanych podczas s</w:t>
            </w:r>
            <w:r w:rsidR="000539F9"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bezpośrednio w tematyce spotkania.</w:t>
            </w:r>
          </w:p>
          <w:p w14:paraId="11895D3E" w14:textId="77777777" w:rsidR="002638C1" w:rsidRPr="0093694B" w:rsidRDefault="002638C1" w:rsidP="00CB75F4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5DCABFE1" w14:textId="77777777" w:rsidR="002638C1" w:rsidRPr="0093694B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>informacje o źródłach finansowania,</w:t>
            </w:r>
          </w:p>
          <w:p w14:paraId="463008F5" w14:textId="77777777" w:rsidR="002638C1" w:rsidRPr="0093694B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3BD48043" w14:textId="60CDA268" w:rsidR="002638C1" w:rsidRPr="0093694B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 xml:space="preserve">dane </w:t>
            </w:r>
            <w:r w:rsidR="00C66D9B" w:rsidRPr="0093694B">
              <w:rPr>
                <w:rFonts w:asciiTheme="minorHAnsi" w:hAnsiTheme="minorHAnsi" w:cstheme="minorHAnsi"/>
                <w:iCs/>
              </w:rPr>
              <w:t>trener</w:t>
            </w:r>
            <w:r w:rsidR="00386661" w:rsidRPr="0093694B">
              <w:rPr>
                <w:rFonts w:asciiTheme="minorHAnsi" w:hAnsiTheme="minorHAnsi" w:cstheme="minorHAnsi"/>
                <w:iCs/>
              </w:rPr>
              <w:t>ów</w:t>
            </w:r>
            <w:r w:rsidRPr="0093694B">
              <w:rPr>
                <w:rFonts w:asciiTheme="minorHAnsi" w:hAnsiTheme="minorHAnsi" w:cstheme="minorHAnsi"/>
                <w:iCs/>
              </w:rPr>
              <w:t>,</w:t>
            </w:r>
          </w:p>
          <w:p w14:paraId="62495B56" w14:textId="77777777" w:rsidR="002638C1" w:rsidRPr="0093694B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>informować o tym, że są one dystrybuowane bezpłatnie.</w:t>
            </w:r>
          </w:p>
          <w:p w14:paraId="3341D9A5" w14:textId="3D9632F9" w:rsidR="002638C1" w:rsidRPr="0093694B" w:rsidRDefault="002638C1" w:rsidP="00061A5A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Materiały edukacyjne muszą zostać przekazane w formie dokumentu PDF oraz, w przypadku prezentacji multimedialnej, w formie pliku PTX lub PPT lub ODP, celem akceptacji przez Zamawiającego w terminie do </w:t>
            </w:r>
            <w:r w:rsidRPr="0093694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7 dni kalendarzowych</w:t>
            </w:r>
            <w:r w:rsidRPr="009369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przed rozpoczęciem realizacji usługi. Prezentacja zostanie przedstawiona podczas s</w:t>
            </w:r>
            <w:r w:rsidR="000539F9" w:rsidRPr="009369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zkolenia </w:t>
            </w:r>
            <w:r w:rsidRPr="0093694B">
              <w:rPr>
                <w:rFonts w:asciiTheme="minorHAnsi" w:hAnsiTheme="minorHAnsi" w:cstheme="minorHAnsi"/>
                <w:iCs/>
                <w:sz w:val="22"/>
                <w:szCs w:val="22"/>
              </w:rPr>
              <w:t>oraz udostępniona uczestnikom spotkania przez Zamawiającego po zrealizowanym spotkaniu.</w:t>
            </w:r>
          </w:p>
          <w:p w14:paraId="7D4F1650" w14:textId="77777777" w:rsidR="00F46B2F" w:rsidRPr="0093694B" w:rsidRDefault="002638C1" w:rsidP="00061A5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lastRenderedPageBreak/>
              <w:t>Przygotowane materiały edukacyjne muszą spełniać wymagania zawarte w dokumencie Załącznik nr 2 „Standardy dostępności dla polityki spójności 2021-2027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”</w:t>
            </w:r>
            <w:r w:rsidR="00F46B2F" w:rsidRPr="0093694B">
              <w:rPr>
                <w:rFonts w:asciiTheme="minorHAnsi" w:hAnsiTheme="minorHAnsi" w:cstheme="minorHAnsi"/>
                <w:iCs/>
                <w:szCs w:val="22"/>
              </w:rPr>
              <w:t xml:space="preserve"> do dokumentu „Wytyczne dotyczące realizacji zasad równościowych w ramach funduszy unijnych na lata 2021-2027”, 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 w:rsidR="00F46B2F" w:rsidRPr="0093694B"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5D6F7D96" w14:textId="463AD4CE" w:rsidR="00F46B2F" w:rsidRPr="0093694B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>punkt II Standard szkoleniowy, rozdział 3 Realizacja szkolenia/kursu/warsztatu/doradztwa (str. 20-22)</w:t>
            </w:r>
            <w:r w:rsidR="002638C1" w:rsidRPr="0093694B">
              <w:rPr>
                <w:rFonts w:asciiTheme="minorHAnsi" w:hAnsiTheme="minorHAnsi" w:cstheme="minorHAnsi"/>
                <w:iCs/>
              </w:rPr>
              <w:t xml:space="preserve">, </w:t>
            </w:r>
          </w:p>
          <w:p w14:paraId="2250746B" w14:textId="1A2102A6" w:rsidR="00F46B2F" w:rsidRPr="0093694B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 xml:space="preserve">punkt III Standard informacyjno-promocyjny, rozdział 3 Materiały. Informacja pisana (str. </w:t>
            </w:r>
            <w:r w:rsidR="000222D9" w:rsidRPr="0093694B">
              <w:rPr>
                <w:rFonts w:asciiTheme="minorHAnsi" w:hAnsiTheme="minorHAnsi" w:cstheme="minorHAnsi"/>
                <w:iCs/>
              </w:rPr>
              <w:t>39-44)</w:t>
            </w:r>
          </w:p>
          <w:p w14:paraId="738482B4" w14:textId="49C9A096" w:rsidR="00F46B2F" w:rsidRPr="0093694B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>punkt V Standard cyfrowy, Rozdział 3 Dokumenty elektroniczne (str. 151-159)</w:t>
            </w:r>
            <w:r w:rsidR="000222D9" w:rsidRPr="0093694B">
              <w:rPr>
                <w:rFonts w:asciiTheme="minorHAnsi" w:hAnsiTheme="minorHAnsi" w:cstheme="minorHAnsi"/>
                <w:iCs/>
              </w:rPr>
              <w:t>.</w:t>
            </w:r>
          </w:p>
          <w:p w14:paraId="00475BE6" w14:textId="0F4BBC36" w:rsidR="002638C1" w:rsidRPr="0093694B" w:rsidRDefault="00F46B2F" w:rsidP="00061A5A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="002638C1" w:rsidRPr="0093694B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8" w:history="1">
              <w:r w:rsidR="002638C1" w:rsidRPr="0093694B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05F974C2" w14:textId="11E8BB53" w:rsidR="00FB38D3" w:rsidRPr="0093694B" w:rsidRDefault="00FB38D3" w:rsidP="00FB38D3">
            <w:pPr>
              <w:rPr>
                <w:rStyle w:val="Hipercze"/>
                <w:color w:val="auto"/>
                <w:u w:val="none"/>
              </w:rPr>
            </w:pPr>
            <w:r w:rsidRPr="0093694B">
              <w:rPr>
                <w:rStyle w:val="Hipercze"/>
                <w:color w:val="auto"/>
                <w:u w:val="none"/>
              </w:rPr>
              <w:t>Poniżej zawarty jest wyciąg z ww</w:t>
            </w:r>
            <w:r w:rsidR="00793D51" w:rsidRPr="0093694B">
              <w:rPr>
                <w:rStyle w:val="Hipercze"/>
                <w:color w:val="auto"/>
                <w:u w:val="none"/>
              </w:rPr>
              <w:t>.</w:t>
            </w:r>
            <w:r w:rsidRPr="0093694B">
              <w:rPr>
                <w:rStyle w:val="Hipercze"/>
                <w:color w:val="auto"/>
                <w:u w:val="none"/>
              </w:rPr>
              <w:t xml:space="preserve"> Standardów, dot. niezbędnych wymagań wobec materiałów edukacyjnych:</w:t>
            </w:r>
          </w:p>
          <w:p w14:paraId="4A430721" w14:textId="77777777" w:rsidR="00D023D0" w:rsidRPr="0093694B" w:rsidRDefault="00D023D0" w:rsidP="00FB38D3">
            <w:pPr>
              <w:rPr>
                <w:rStyle w:val="Hipercze"/>
                <w:color w:val="auto"/>
                <w:u w:val="none"/>
              </w:rPr>
            </w:pPr>
          </w:p>
          <w:p w14:paraId="4E00F21E" w14:textId="77777777" w:rsidR="00FB38D3" w:rsidRPr="0093694B" w:rsidRDefault="00FB38D3" w:rsidP="00FB38D3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Materiały. Informacja pisana</w:t>
            </w:r>
          </w:p>
          <w:p w14:paraId="15555938" w14:textId="77777777" w:rsidR="00FB38D3" w:rsidRPr="0093694B" w:rsidRDefault="00FB38D3" w:rsidP="00FB38D3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13FD802C" w14:textId="48EBFE43" w:rsidR="00793D51" w:rsidRPr="0093694B" w:rsidRDefault="00FB38D3" w:rsidP="00FB38D3">
            <w:pPr>
              <w:spacing w:line="276" w:lineRule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Wytyczne do informacji pisanej:</w:t>
            </w:r>
          </w:p>
          <w:p w14:paraId="3E929378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191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Teksty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są pisane prostym językiem: </w:t>
            </w:r>
          </w:p>
          <w:p w14:paraId="18302E20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0B6638B3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6B99F1E8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0BE24B0B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zdaniach stosuje się stronę czynną zamiast biernej </w:t>
            </w:r>
          </w:p>
          <w:p w14:paraId="03659EEB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podawane są przykłady </w:t>
            </w:r>
          </w:p>
          <w:p w14:paraId="6C8E6081" w14:textId="6422E4D4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wyrównan</w:t>
            </w:r>
            <w:r w:rsidR="005265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ia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są do lewej strony – nie stosujemy justowania </w:t>
            </w:r>
          </w:p>
          <w:p w14:paraId="2D192B7A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after="196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39A5AF7A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after="196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Dzielenie wyrazów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2449B217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Czcionka: </w:t>
            </w:r>
          </w:p>
          <w:p w14:paraId="3A41DCDF" w14:textId="77777777" w:rsidR="00FB38D3" w:rsidRPr="0093694B" w:rsidRDefault="00FB38D3" w:rsidP="00FB38D3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bezszeryfowa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czyli o kroju pozbawionym ozdobników w postaci szeryfów – końcówki znaków są proste (na przykład 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Helvetica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Arial, Calibri, Tahoma); przykłady czcionek szeryfowych, których nie należy stosować, to miedzy innymi Times New Roman, Century</w:t>
            </w:r>
          </w:p>
          <w:p w14:paraId="0BC3198D" w14:textId="77777777" w:rsidR="00FB38D3" w:rsidRPr="0093694B" w:rsidRDefault="00FB38D3" w:rsidP="00FB38D3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rozmiar: minimum 12 </w:t>
            </w:r>
          </w:p>
          <w:p w14:paraId="56B7F516" w14:textId="77777777" w:rsidR="00FB38D3" w:rsidRPr="0093694B" w:rsidRDefault="00FB38D3" w:rsidP="00FB38D3">
            <w:pPr>
              <w:pStyle w:val="Default"/>
              <w:numPr>
                <w:ilvl w:val="0"/>
                <w:numId w:val="53"/>
              </w:numPr>
              <w:spacing w:after="196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należy stosować interlinię miedzy wierszami: 1,15 lub 1,5. </w:t>
            </w:r>
          </w:p>
          <w:p w14:paraId="6A42360A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after="196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Nagłówki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092010CD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Akapity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2E3142EB" w14:textId="77777777" w:rsidR="00FB38D3" w:rsidRPr="0093694B" w:rsidRDefault="00FB38D3" w:rsidP="00FB38D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przeniesienie fragmentu akapitu czy zdania do nowej linii wykonuje się przez wstawienie znaku podziału linii – znak ten można wstawić używając klawiszy: &lt;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Shift+Enter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&gt; </w:t>
            </w:r>
          </w:p>
          <w:p w14:paraId="32E0FEEC" w14:textId="77777777" w:rsidR="00FB38D3" w:rsidRPr="0093694B" w:rsidRDefault="00FB38D3" w:rsidP="00FB38D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przeniesienie fragmentu dokumentu na nową stronę wykonuje się przez wstawienie znaku podziału strony: &lt;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Ctrl+Enter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&gt; </w:t>
            </w:r>
          </w:p>
          <w:p w14:paraId="7CA07D7F" w14:textId="77777777" w:rsidR="00FB38D3" w:rsidRPr="0093694B" w:rsidRDefault="00FB38D3" w:rsidP="00FB38D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 używa się klawisza &lt;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Enter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&gt; do przesuwania treści – użytkownicy niewidomi otrzymują wówczas błędną informację od czytnika ekranu; może to również spowodować błędne wyświetlanie się dokumentów </w:t>
            </w:r>
          </w:p>
          <w:p w14:paraId="33FB6234" w14:textId="77777777" w:rsidR="00FB38D3" w:rsidRPr="0093694B" w:rsidRDefault="00FB38D3" w:rsidP="00FB38D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4DF3427A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Hiperłącza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084A1725" w14:textId="77777777" w:rsidR="00FB38D3" w:rsidRPr="0093694B" w:rsidRDefault="00FB38D3" w:rsidP="00FB38D3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1D668B3C" w14:textId="77777777" w:rsidR="00FB38D3" w:rsidRPr="0093694B" w:rsidRDefault="00FB38D3" w:rsidP="00FB38D3">
            <w:pPr>
              <w:pStyle w:val="Default"/>
              <w:numPr>
                <w:ilvl w:val="0"/>
                <w:numId w:val="55"/>
              </w:numPr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napisz: Terminy naborów. </w:t>
            </w:r>
          </w:p>
          <w:p w14:paraId="01F83765" w14:textId="77777777" w:rsidR="00FB38D3" w:rsidRPr="0093694B" w:rsidRDefault="00FB38D3" w:rsidP="005824B6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Listy elementów – numeracja i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punktory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14:paraId="2A71D2D1" w14:textId="77777777" w:rsidR="00FB38D3" w:rsidRPr="0093694B" w:rsidRDefault="00FB38D3" w:rsidP="00793D51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6BB16D73" w14:textId="77777777" w:rsidR="00FB38D3" w:rsidRPr="0093694B" w:rsidRDefault="00FB38D3" w:rsidP="00FB38D3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10C0B73D" w14:textId="77777777" w:rsidR="00FB38D3" w:rsidRPr="0093694B" w:rsidRDefault="00FB38D3" w:rsidP="00FB38D3">
            <w:pPr>
              <w:pStyle w:val="Default"/>
              <w:numPr>
                <w:ilvl w:val="0"/>
                <w:numId w:val="56"/>
              </w:numPr>
              <w:spacing w:after="198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symbol 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punktora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lub liczba oznaczająca element listy powinna być wysunięta na lewo względem tekstu, dzięki temu elementy listy będą łatwo zauważalne. </w:t>
            </w:r>
          </w:p>
          <w:p w14:paraId="4C424659" w14:textId="77777777" w:rsidR="00FB38D3" w:rsidRPr="0093694B" w:rsidRDefault="00FB38D3" w:rsidP="0046291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 xml:space="preserve">Kontrast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25919E19" w14:textId="77777777" w:rsidR="00FB38D3" w:rsidRPr="0093694B" w:rsidRDefault="00FB38D3" w:rsidP="00FB38D3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Tekst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Tekst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Tekst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Tekst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5E6AEFC9" w14:textId="77777777" w:rsidR="00FB38D3" w:rsidRPr="0093694B" w:rsidRDefault="00FB38D3" w:rsidP="00FB38D3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77DCF88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Tabele: </w:t>
            </w:r>
          </w:p>
          <w:p w14:paraId="408F6242" w14:textId="77777777" w:rsidR="00FB38D3" w:rsidRPr="0093694B" w:rsidRDefault="00FB38D3" w:rsidP="00FB38D3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57B94D40" w14:textId="77777777" w:rsidR="00FB38D3" w:rsidRPr="0093694B" w:rsidRDefault="00FB38D3" w:rsidP="00FB38D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</w:rPr>
            </w:pPr>
            <w:r w:rsidRPr="0093694B">
              <w:rPr>
                <w:rFonts w:cstheme="minorHAnsi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7AD570D4" w14:textId="77777777" w:rsidR="00FB38D3" w:rsidRPr="0093694B" w:rsidRDefault="00FB38D3" w:rsidP="00FB38D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</w:rPr>
            </w:pPr>
            <w:r w:rsidRPr="0093694B">
              <w:rPr>
                <w:rFonts w:cstheme="minorHAnsi"/>
              </w:rPr>
              <w:t xml:space="preserve">linie siatki są widoczne, co pozwala wizualnie rozpoznawać wiersze i kolumny, </w:t>
            </w:r>
          </w:p>
          <w:p w14:paraId="69567A63" w14:textId="77777777" w:rsidR="00FB38D3" w:rsidRPr="0093694B" w:rsidRDefault="00FB38D3" w:rsidP="00FB38D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</w:rPr>
            </w:pPr>
            <w:r w:rsidRPr="0093694B">
              <w:rPr>
                <w:rFonts w:cstheme="minorHAnsi"/>
              </w:rPr>
              <w:t xml:space="preserve">wyrównując tekst w kolumnach należy wyrównywać do lewej </w:t>
            </w:r>
          </w:p>
          <w:p w14:paraId="35A20E18" w14:textId="77777777" w:rsidR="00FB38D3" w:rsidRPr="0093694B" w:rsidRDefault="00FB38D3" w:rsidP="00FB38D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</w:rPr>
            </w:pPr>
            <w:r w:rsidRPr="0093694B">
              <w:rPr>
                <w:rFonts w:cstheme="minorHAnsi"/>
              </w:rPr>
              <w:t>dane liczbowe wyrównuje się do prawej lub do przecinka dziesiętnego.</w:t>
            </w:r>
          </w:p>
          <w:p w14:paraId="2503784D" w14:textId="77777777" w:rsidR="00FB38D3" w:rsidRPr="0093694B" w:rsidRDefault="00FB38D3" w:rsidP="00FB38D3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</w:rPr>
            </w:pPr>
          </w:p>
          <w:p w14:paraId="112AE3B0" w14:textId="77777777" w:rsidR="00FB38D3" w:rsidRPr="0093694B" w:rsidRDefault="00FB38D3" w:rsidP="005824B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</w:rPr>
            </w:pPr>
            <w:r w:rsidRPr="0093694B">
              <w:rPr>
                <w:rFonts w:cstheme="minorHAnsi"/>
                <w:b/>
                <w:bCs/>
              </w:rPr>
              <w:t xml:space="preserve"> Eksportowanie pliku do pdf jest niezbędne dla zwiększenia dostępności tego pliku. </w:t>
            </w:r>
          </w:p>
          <w:p w14:paraId="356D95E1" w14:textId="77777777" w:rsidR="00FB38D3" w:rsidRPr="0093694B" w:rsidRDefault="00FB38D3" w:rsidP="00793D51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481BA265" w14:textId="77777777" w:rsidR="00FB38D3" w:rsidRPr="0093694B" w:rsidRDefault="00FB38D3" w:rsidP="00FB38D3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następnie w polu </w:t>
            </w:r>
            <w:r w:rsidRPr="00774A0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Tagi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struktury dla ułatwień dostępu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oraz 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Właściwości dokumentu. </w:t>
            </w:r>
          </w:p>
          <w:p w14:paraId="6731C55F" w14:textId="77777777" w:rsidR="00FB38D3" w:rsidRPr="0093694B" w:rsidRDefault="00FB38D3" w:rsidP="00FB38D3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B6DAEB1" w14:textId="77777777" w:rsidR="00FB38D3" w:rsidRPr="0093694B" w:rsidRDefault="00FB38D3" w:rsidP="00FB38D3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Informacja elektroniczna </w:t>
            </w:r>
          </w:p>
          <w:p w14:paraId="39D3ACB2" w14:textId="7D74E3B8" w:rsidR="00FB38D3" w:rsidRPr="0093694B" w:rsidRDefault="00FB38D3" w:rsidP="00FB38D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Dokumenty dystrybuowane elektronicznie powinny być opracowane zgodnie z Standardem cyfrowy</w:t>
            </w:r>
            <w:r w:rsidR="000A7C1B"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(Rozdział 3 Dokumenty elektroniczne) określonych w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Standardzie dostępności dla polityki spójności 2021-2027:</w:t>
            </w:r>
          </w:p>
          <w:p w14:paraId="0894EDD4" w14:textId="77777777" w:rsidR="00FB38D3" w:rsidRPr="0093694B" w:rsidRDefault="00FB38D3" w:rsidP="00FB38D3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5474843A" w14:textId="77777777" w:rsidR="00FB38D3" w:rsidRPr="0093694B" w:rsidRDefault="00FB38D3" w:rsidP="00FB38D3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następnie w polu </w:t>
            </w:r>
            <w:r w:rsidRPr="009222D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Tagi</w:t>
            </w:r>
            <w:proofErr w:type="spellEnd"/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struktury dla ułatwień dostępu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oraz </w:t>
            </w:r>
            <w:proofErr w:type="spellStart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Właściwości dokumentu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15019757" w14:textId="3203861A" w:rsidR="00FB38D3" w:rsidRPr="0093694B" w:rsidRDefault="00FB38D3" w:rsidP="00FB38D3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Podczas wysyłania zeskanowywanego dokumentu (na przykład</w:t>
            </w:r>
            <w:r w:rsidR="009178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79179827" w14:textId="77777777" w:rsidR="00FB38D3" w:rsidRPr="0093694B" w:rsidRDefault="00FB38D3" w:rsidP="00FB38D3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19350F2D" w14:textId="77777777" w:rsidR="00FB38D3" w:rsidRPr="0093694B" w:rsidRDefault="00FB38D3" w:rsidP="005824B6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u w:val="single"/>
              </w:rPr>
            </w:pPr>
            <w:r w:rsidRPr="0093694B"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2393E054" w14:textId="77777777" w:rsidR="00FB38D3" w:rsidRPr="0093694B" w:rsidRDefault="00FB38D3" w:rsidP="005824B6">
            <w:pPr>
              <w:spacing w:line="276" w:lineRule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7B11CC15" w14:textId="77777777" w:rsidR="00FB38D3" w:rsidRPr="0093694B" w:rsidRDefault="00FB38D3" w:rsidP="00793D51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unikalne tytuły dla każdego ze slajdów,</w:t>
            </w:r>
          </w:p>
          <w:p w14:paraId="74CF2C19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użycie krótkich równoważników zdań,</w:t>
            </w:r>
          </w:p>
          <w:p w14:paraId="4ADBBFA1" w14:textId="77777777" w:rsidR="00FB38D3" w:rsidRPr="0093694B" w:rsidRDefault="00FB38D3" w:rsidP="005824B6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6B5369C3" w14:textId="77777777" w:rsidR="00FB38D3" w:rsidRPr="0093694B" w:rsidRDefault="00FB38D3" w:rsidP="00793D51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 xml:space="preserve">zastosowanie czcionek </w:t>
            </w:r>
            <w:proofErr w:type="spellStart"/>
            <w:r w:rsidRPr="0093694B">
              <w:rPr>
                <w:rFonts w:cstheme="minorHAnsi"/>
                <w:szCs w:val="22"/>
              </w:rPr>
              <w:t>bezszeryfowych</w:t>
            </w:r>
            <w:proofErr w:type="spellEnd"/>
            <w:r w:rsidRPr="0093694B">
              <w:rPr>
                <w:rFonts w:cstheme="minorHAnsi"/>
                <w:szCs w:val="22"/>
              </w:rPr>
              <w:t xml:space="preserve">, na przykład </w:t>
            </w:r>
            <w:proofErr w:type="spellStart"/>
            <w:r w:rsidRPr="0093694B">
              <w:rPr>
                <w:rFonts w:cstheme="minorHAnsi"/>
                <w:szCs w:val="22"/>
              </w:rPr>
              <w:t>Helvetica</w:t>
            </w:r>
            <w:proofErr w:type="spellEnd"/>
            <w:r w:rsidRPr="0093694B">
              <w:rPr>
                <w:rFonts w:cstheme="minorHAnsi"/>
                <w:szCs w:val="22"/>
              </w:rPr>
              <w:t>, Arial, Verdana, Tahoma bez cieni,</w:t>
            </w:r>
          </w:p>
          <w:p w14:paraId="7A0D5BB7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 xml:space="preserve">zachowanie kontrastu czcionki do tła, </w:t>
            </w:r>
          </w:p>
          <w:p w14:paraId="6D8481AD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zastosowanie wysokiej jakości grafiki, dużych zdjęć wraz z obligatoryjnym tekstem alternatywnym,</w:t>
            </w:r>
          </w:p>
          <w:p w14:paraId="0F6FAFFA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4ABED379" w14:textId="77777777" w:rsidR="00FB38D3" w:rsidRPr="0093694B" w:rsidRDefault="00FB38D3" w:rsidP="005824B6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eastAsia="Times New Roman" w:cstheme="minorHAnsi"/>
                <w:kern w:val="0"/>
                <w:szCs w:val="22"/>
              </w:rPr>
              <w:t>brak automatycznego przesuwania slajdów,</w:t>
            </w:r>
          </w:p>
          <w:p w14:paraId="15C3B801" w14:textId="77777777" w:rsidR="00FB38D3" w:rsidRPr="0093694B" w:rsidRDefault="00FB38D3" w:rsidP="00793D51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p</w:t>
            </w:r>
            <w:r w:rsidRPr="0093694B"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1076B92F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eastAsia="Times New Roman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35AB0A1B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w</w:t>
            </w:r>
            <w:r w:rsidRPr="0093694B"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7DAF72F7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w</w:t>
            </w:r>
            <w:r w:rsidRPr="0093694B"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4EDA60AB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j</w:t>
            </w:r>
            <w:r w:rsidRPr="0093694B"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2ABB728A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eastAsia="Times New Roman" w:cstheme="minorHAnsi"/>
                <w:kern w:val="0"/>
                <w:szCs w:val="22"/>
              </w:rPr>
              <w:lastRenderedPageBreak/>
              <w:t xml:space="preserve">warto pamiętać, </w:t>
            </w:r>
            <w:r w:rsidRPr="0093694B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93694B">
              <w:rPr>
                <w:rFonts w:cs="Arial"/>
                <w:szCs w:val="22"/>
                <w:lang w:eastAsia="hi-IN" w:bidi="hi-IN"/>
              </w:rPr>
              <w:t>,</w:t>
            </w:r>
          </w:p>
          <w:p w14:paraId="7425D99E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93694B">
              <w:rPr>
                <w:rFonts w:cs="Arial"/>
                <w:szCs w:val="22"/>
                <w:lang w:eastAsia="ar-SA" w:bidi="hi-IN"/>
              </w:rPr>
              <w:t>PowerPoint kolejność odczytu pokazywana jest odwrotnie</w:t>
            </w:r>
          </w:p>
          <w:p w14:paraId="2AFC67C1" w14:textId="4A2F892D" w:rsidR="00443FFD" w:rsidRPr="0093694B" w:rsidRDefault="002638C1" w:rsidP="00443FFD">
            <w:pPr>
              <w:widowControl/>
              <w:spacing w:before="240" w:line="254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3CCF2D58" w14:textId="77777777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 w:rsidRPr="0093694B">
              <w:rPr>
                <w:rFonts w:cs="Calibri"/>
                <w:b/>
                <w:bCs/>
                <w:szCs w:val="22"/>
              </w:rPr>
              <w:t xml:space="preserve">Creative </w:t>
            </w:r>
            <w:proofErr w:type="spellStart"/>
            <w:r w:rsidRPr="0093694B">
              <w:rPr>
                <w:rFonts w:cs="Calibri"/>
                <w:b/>
                <w:bCs/>
                <w:szCs w:val="22"/>
              </w:rPr>
              <w:t>Commons</w:t>
            </w:r>
            <w:proofErr w:type="spellEnd"/>
            <w:r w:rsidRPr="0093694B">
              <w:rPr>
                <w:rFonts w:cs="Calibri"/>
                <w:szCs w:val="22"/>
              </w:rPr>
              <w:t xml:space="preserve"> </w:t>
            </w:r>
            <w:r w:rsidRPr="0093694B">
              <w:rPr>
                <w:rFonts w:cs="Calibri"/>
                <w:b/>
                <w:bCs/>
                <w:szCs w:val="22"/>
              </w:rPr>
              <w:t xml:space="preserve">Uznanie autorstwa CC BY 4.0 </w:t>
            </w:r>
            <w:r w:rsidRPr="0093694B">
              <w:rPr>
                <w:rFonts w:cs="Calibri"/>
                <w:szCs w:val="22"/>
              </w:rPr>
              <w:t xml:space="preserve">(treść licencji jest dostępna na: </w:t>
            </w:r>
            <w:hyperlink r:id="rId9" w:history="1">
              <w:r w:rsidRPr="0093694B">
                <w:rPr>
                  <w:rFonts w:cs="Calibri"/>
                  <w:szCs w:val="22"/>
                  <w:u w:val="single"/>
                </w:rPr>
                <w:t>https://creativecommons.pl/poznaj-licencje-creative-commons/</w:t>
              </w:r>
            </w:hyperlink>
            <w:r w:rsidRPr="0093694B">
              <w:rPr>
                <w:rFonts w:cs="Calibri"/>
                <w:szCs w:val="22"/>
              </w:rPr>
              <w:t xml:space="preserve">)  </w:t>
            </w:r>
          </w:p>
          <w:p w14:paraId="730B61FB" w14:textId="77777777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cs="Calibri"/>
                <w:szCs w:val="22"/>
              </w:rPr>
              <w:t xml:space="preserve">Na wniosek </w:t>
            </w:r>
            <w:bookmarkStart w:id="1" w:name="_Hlk171582907"/>
            <w:r w:rsidRPr="0093694B">
              <w:rPr>
                <w:rFonts w:cs="Calibri"/>
                <w:iCs/>
                <w:szCs w:val="22"/>
              </w:rPr>
              <w:t>Instytucji Koordynującej Umowę Partnerstwa</w:t>
            </w:r>
            <w:bookmarkEnd w:id="1"/>
            <w:r w:rsidRPr="0093694B">
              <w:rPr>
                <w:rFonts w:cs="Calibri"/>
                <w:szCs w:val="22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16BAD24C" w14:textId="77777777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Wykonawca wyraża zgodę na udostępnienie </w:t>
            </w:r>
            <w:r w:rsidRPr="0093694B">
              <w:rPr>
                <w:rFonts w:cs="Calibri"/>
                <w:iCs/>
                <w:szCs w:val="22"/>
              </w:rPr>
              <w:t>Instytucji Koordynującej Umowę Partnerstwa</w:t>
            </w:r>
            <w:r w:rsidRPr="0093694B">
              <w:rPr>
                <w:rFonts w:cs="Calibri"/>
                <w:szCs w:val="22"/>
              </w:rPr>
              <w:t xml:space="preserve"> Instytucji Zarządzającej, Instytucji Pośredniczącej i unijnych instytucji i organów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 utworów </w:t>
            </w:r>
            <w:r w:rsidRPr="0093694B">
              <w:rPr>
                <w:rFonts w:cs="Calibri"/>
                <w:szCs w:val="22"/>
              </w:rPr>
              <w:t>związanych z komunikacją i widocznością, które stworzono w ramach Projektu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 powstałych </w:t>
            </w:r>
            <w:r w:rsidRPr="0093694B">
              <w:rPr>
                <w:rFonts w:cs="Calibri"/>
                <w:szCs w:val="22"/>
              </w:rPr>
              <w:t>w ramach licencji, o której mowa w ust 1 przez Zamawiającego tym instytucjom;</w:t>
            </w:r>
          </w:p>
          <w:p w14:paraId="182267AE" w14:textId="77777777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cs="Calibri"/>
                <w:szCs w:val="22"/>
              </w:rPr>
              <w:t>Sposoby publikacji zapewniającej otwarty dostęp, określa Instytucja Pośrednicząca, zgodnie z celem Projektu;</w:t>
            </w:r>
          </w:p>
          <w:p w14:paraId="7AF04F48" w14:textId="77777777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cs="Calibri"/>
                <w:szCs w:val="22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701E6B86" w14:textId="77777777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cs="Calibri"/>
                <w:szCs w:val="22"/>
              </w:rPr>
            </w:pPr>
            <w:r w:rsidRPr="0093694B">
              <w:rPr>
                <w:rFonts w:cs="Calibri"/>
                <w:szCs w:val="22"/>
              </w:rPr>
              <w:t>W przypadku utworów zależnych, do których majątkowe prawa autorskie nie wygasły, a autorzy i spadkobiercy nie godzą się na uwolnienie prawa licencji, Zamawiający udostępni je ww. instytucjom na zasadach określonych w ustawie z dnia 4 lutego 1994 r. o prawie autorskim i prawach pokrewnych.</w:t>
            </w:r>
          </w:p>
          <w:p w14:paraId="0DADFA38" w14:textId="0093B20A" w:rsidR="002638C1" w:rsidRPr="0093694B" w:rsidRDefault="00443FFD" w:rsidP="005824B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</w:t>
            </w:r>
            <w:r w:rsidR="00B538BE">
              <w:rPr>
                <w:rFonts w:cs="Calibri"/>
                <w:szCs w:val="22"/>
              </w:rPr>
              <w:t>.</w:t>
            </w:r>
          </w:p>
          <w:p w14:paraId="31E6BCC3" w14:textId="6E9B19F7" w:rsidR="002638C1" w:rsidRPr="0093694B" w:rsidRDefault="002638C1" w:rsidP="00061A5A">
            <w:pPr>
              <w:ind w:left="41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638C1" w:rsidRPr="0093694B" w14:paraId="2FA4C5F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93694B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93694B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2F3B" w14:textId="77777777" w:rsidR="002638C1" w:rsidRPr="0093694B" w:rsidRDefault="002638C1" w:rsidP="002638C1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7D0CADF1" w14:textId="6466D1F7" w:rsidR="002638C1" w:rsidRPr="0093694B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6A79E9A3" w14:textId="77777777" w:rsidR="002638C1" w:rsidRPr="0093694B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6205126A" w14:textId="47DBB693" w:rsidR="002638C1" w:rsidRPr="0093694B" w:rsidRDefault="002638C1" w:rsidP="000539F9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</w:t>
            </w:r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>uczestnikom szkoleni</w:t>
            </w:r>
            <w:r w:rsidR="005F181A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warunków do realizacji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(sala, rzutnik, tablica – </w:t>
            </w:r>
            <w:proofErr w:type="spellStart"/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flipczart</w:t>
            </w:r>
            <w:proofErr w:type="spellEnd"/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, </w:t>
            </w:r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>wyżywienie, nocleg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).</w:t>
            </w:r>
          </w:p>
          <w:p w14:paraId="630BCD90" w14:textId="0E9351EA" w:rsidR="000222D9" w:rsidRPr="0093694B" w:rsidRDefault="002638C1" w:rsidP="00793D5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5F3E01E2" w14:textId="77777777" w:rsidR="002638C1" w:rsidRPr="0093694B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zapewnienia narzędzi umożliwiających Wykonawcy dostosowanie formy przekazu do ich potrzeb, zgodnie z ustawą o zapewnianiu dostępności osobom ze szczególnymi potrzebami.</w:t>
            </w:r>
          </w:p>
          <w:p w14:paraId="68DB2FC3" w14:textId="77777777" w:rsidR="002638C1" w:rsidRPr="0093694B" w:rsidRDefault="002638C1" w:rsidP="00061A5A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C444ED" w14:textId="599BDD90" w:rsidR="002638C1" w:rsidRPr="0093694B" w:rsidRDefault="002638C1" w:rsidP="000539F9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w porozumieniu z Zamawiającym.</w:t>
            </w:r>
          </w:p>
          <w:p w14:paraId="7394FFF3" w14:textId="3D6F0044" w:rsidR="002638C1" w:rsidRPr="0093694B" w:rsidRDefault="002638C1" w:rsidP="001519E0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 w:rsidR="00061A5A"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streszczenia zagadnień poruszanych podczas s</w:t>
            </w:r>
            <w:r w:rsidR="000539F9"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Zamawiającego.</w:t>
            </w:r>
          </w:p>
          <w:p w14:paraId="362C14E6" w14:textId="7DAED03D" w:rsidR="002638C1" w:rsidRPr="0093694B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Zapewnienie</w:t>
            </w:r>
            <w:r w:rsidR="000C5B50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0C5B50" w:rsidRPr="0093694B">
              <w:rPr>
                <w:rFonts w:asciiTheme="minorHAnsi" w:hAnsiTheme="minorHAnsi" w:cstheme="minorHAnsi"/>
                <w:b/>
                <w:iCs/>
                <w:szCs w:val="22"/>
              </w:rPr>
              <w:t>dwóch</w:t>
            </w:r>
            <w:r w:rsidRPr="0093694B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="000222D9" w:rsidRPr="0093694B">
              <w:rPr>
                <w:rFonts w:asciiTheme="minorHAnsi" w:hAnsiTheme="minorHAnsi" w:cstheme="minorHAnsi"/>
                <w:bCs/>
                <w:iCs/>
                <w:szCs w:val="22"/>
              </w:rPr>
              <w:t>trener</w:t>
            </w:r>
            <w:r w:rsidR="000C5B50" w:rsidRPr="0093694B">
              <w:rPr>
                <w:rFonts w:asciiTheme="minorHAnsi" w:hAnsiTheme="minorHAnsi" w:cstheme="minorHAnsi"/>
                <w:bCs/>
                <w:iCs/>
                <w:szCs w:val="22"/>
              </w:rPr>
              <w:t>ów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="00857A25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(obecnych jednocześnie podczas szkolenia)</w:t>
            </w:r>
            <w:r w:rsidR="00B73CEB"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41835DA4" w14:textId="7DBB8D25" w:rsidR="000222D9" w:rsidRPr="0093694B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Przeprowadzenie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</w:t>
            </w:r>
            <w:r w:rsidR="00B538BE">
              <w:rPr>
                <w:rFonts w:asciiTheme="minorHAnsi" w:hAnsiTheme="minorHAnsi" w:cstheme="minorHAnsi"/>
                <w:bCs/>
                <w:iCs/>
                <w:szCs w:val="22"/>
              </w:rPr>
              <w:t>nia</w:t>
            </w:r>
            <w:r w:rsidR="00A7089A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2-dniow</w:t>
            </w:r>
            <w:r w:rsidR="00B538BE">
              <w:rPr>
                <w:rFonts w:asciiTheme="minorHAnsi" w:hAnsiTheme="minorHAnsi" w:cstheme="minorHAnsi"/>
                <w:bCs/>
                <w:iCs/>
                <w:szCs w:val="22"/>
              </w:rPr>
              <w:t>ego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wymiarze </w:t>
            </w:r>
            <w:r w:rsidR="00654ABF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92311E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="00A7089A" w:rsidRPr="0092311E">
              <w:rPr>
                <w:rFonts w:asciiTheme="minorHAnsi" w:hAnsiTheme="minorHAnsi" w:cstheme="minorHAnsi"/>
                <w:b/>
                <w:iCs/>
                <w:szCs w:val="22"/>
              </w:rPr>
              <w:t>szkole</w:t>
            </w:r>
            <w:r w:rsidR="00654ABF">
              <w:rPr>
                <w:rFonts w:asciiTheme="minorHAnsi" w:hAnsiTheme="minorHAnsi" w:cstheme="minorHAnsi"/>
                <w:b/>
                <w:iCs/>
                <w:szCs w:val="22"/>
              </w:rPr>
              <w:t>nie</w:t>
            </w:r>
            <w:r w:rsidR="00A7089A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tj. </w:t>
            </w:r>
            <w:r w:rsidR="00654ABF">
              <w:rPr>
                <w:rFonts w:asciiTheme="minorHAnsi" w:hAnsiTheme="minorHAnsi" w:cstheme="minorHAnsi"/>
                <w:b/>
                <w:iCs/>
                <w:szCs w:val="22"/>
              </w:rPr>
              <w:t>2</w:t>
            </w:r>
            <w:r w:rsidR="000C5B50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dni robocz</w:t>
            </w:r>
            <w:r w:rsidR="005F181A">
              <w:rPr>
                <w:rFonts w:asciiTheme="minorHAnsi" w:hAnsiTheme="minorHAnsi" w:cstheme="minorHAnsi"/>
                <w:b/>
                <w:iCs/>
                <w:szCs w:val="22"/>
              </w:rPr>
              <w:t>e</w:t>
            </w:r>
            <w:r w:rsidR="000C5B50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="00654ABF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92311E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Pr="0092311E">
              <w:rPr>
                <w:rFonts w:asciiTheme="minorHAnsi" w:hAnsiTheme="minorHAnsi" w:cstheme="minorHAnsi"/>
                <w:b/>
                <w:iCs/>
                <w:szCs w:val="22"/>
              </w:rPr>
              <w:t>h zegarow</w:t>
            </w:r>
            <w:r w:rsidR="000539F9" w:rsidRPr="0092311E">
              <w:rPr>
                <w:rFonts w:asciiTheme="minorHAnsi" w:hAnsiTheme="minorHAnsi" w:cstheme="minorHAnsi"/>
                <w:b/>
                <w:iCs/>
                <w:szCs w:val="22"/>
              </w:rPr>
              <w:t>ych</w:t>
            </w:r>
            <w:r w:rsidR="00A7089A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,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uzgodnionym przez Zamawiającego terminie </w:t>
            </w:r>
            <w:r w:rsidR="00510272">
              <w:rPr>
                <w:rFonts w:asciiTheme="minorHAnsi" w:hAnsiTheme="minorHAnsi" w:cstheme="minorHAnsi"/>
                <w:bCs/>
                <w:iCs/>
                <w:szCs w:val="22"/>
              </w:rPr>
              <w:br/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i we wskazanym miejscu.</w:t>
            </w:r>
          </w:p>
          <w:p w14:paraId="7F64A45D" w14:textId="77777777" w:rsidR="002638C1" w:rsidRPr="0093694B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2A202E81" w14:textId="41C27F48" w:rsidR="002638C1" w:rsidRPr="0093694B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szCs w:val="22"/>
              </w:rPr>
              <w:t>W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</w:t>
            </w:r>
            <w:r w:rsidR="005772CC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zkoleniu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-dostosowanie formy przekazu do ich potrzeb, zgodnie z ustawą o zapewnianiu dostępności osobom ze szczególnymi potrzebami.</w:t>
            </w:r>
          </w:p>
        </w:tc>
      </w:tr>
    </w:tbl>
    <w:p w14:paraId="5F4C1416" w14:textId="77777777" w:rsidR="00666EAC" w:rsidRPr="0093694B" w:rsidRDefault="00666EAC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sectPr w:rsidR="00666EAC" w:rsidRPr="0093694B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B984D" w14:textId="77777777" w:rsidR="00D45D0D" w:rsidRDefault="00D45D0D" w:rsidP="00784FE0">
      <w:r>
        <w:separator/>
      </w:r>
    </w:p>
  </w:endnote>
  <w:endnote w:type="continuationSeparator" w:id="0">
    <w:p w14:paraId="2392BA05" w14:textId="77777777" w:rsidR="00D45D0D" w:rsidRDefault="00D45D0D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7382E" w14:textId="77777777" w:rsidR="00D45D0D" w:rsidRDefault="00D45D0D" w:rsidP="00784FE0">
      <w:r>
        <w:separator/>
      </w:r>
    </w:p>
  </w:footnote>
  <w:footnote w:type="continuationSeparator" w:id="0">
    <w:p w14:paraId="3EBBEB9C" w14:textId="77777777" w:rsidR="00D45D0D" w:rsidRDefault="00D45D0D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D38"/>
    <w:multiLevelType w:val="hybridMultilevel"/>
    <w:tmpl w:val="2ED64E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B24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284" w:hanging="360"/>
      </w:p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65A6A2E"/>
    <w:multiLevelType w:val="hybridMultilevel"/>
    <w:tmpl w:val="4536BDDC"/>
    <w:lvl w:ilvl="0" w:tplc="29BEC89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color w:val="7030A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854"/>
    <w:multiLevelType w:val="multilevel"/>
    <w:tmpl w:val="C89CAC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73B1B3C"/>
    <w:multiLevelType w:val="hybridMultilevel"/>
    <w:tmpl w:val="8CEE00AC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3F0F02"/>
    <w:multiLevelType w:val="hybridMultilevel"/>
    <w:tmpl w:val="33B62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C4F83"/>
    <w:multiLevelType w:val="hybridMultilevel"/>
    <w:tmpl w:val="9EDE45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B78C8"/>
    <w:multiLevelType w:val="hybridMultilevel"/>
    <w:tmpl w:val="FE7C6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7757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43F6F"/>
    <w:multiLevelType w:val="hybridMultilevel"/>
    <w:tmpl w:val="28F6E76A"/>
    <w:lvl w:ilvl="0" w:tplc="9E4A1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74EF3"/>
    <w:multiLevelType w:val="hybridMultilevel"/>
    <w:tmpl w:val="B9884B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875BE"/>
    <w:multiLevelType w:val="hybridMultilevel"/>
    <w:tmpl w:val="9BB84BF6"/>
    <w:lvl w:ilvl="0" w:tplc="7408C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03C75"/>
    <w:multiLevelType w:val="hybridMultilevel"/>
    <w:tmpl w:val="22E621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49727E"/>
    <w:multiLevelType w:val="hybridMultilevel"/>
    <w:tmpl w:val="1B5052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E479F"/>
    <w:multiLevelType w:val="multilevel"/>
    <w:tmpl w:val="DA603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E21C6A"/>
    <w:multiLevelType w:val="hybridMultilevel"/>
    <w:tmpl w:val="A33250E6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5" w15:restartNumberingAfterBreak="0">
    <w:nsid w:val="31A95337"/>
    <w:multiLevelType w:val="hybridMultilevel"/>
    <w:tmpl w:val="78BA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500F3E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D2029B"/>
    <w:multiLevelType w:val="hybridMultilevel"/>
    <w:tmpl w:val="5DD0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F53E25"/>
    <w:multiLevelType w:val="hybridMultilevel"/>
    <w:tmpl w:val="C098F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174A9"/>
    <w:multiLevelType w:val="hybridMultilevel"/>
    <w:tmpl w:val="7964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0E5CD7"/>
    <w:multiLevelType w:val="hybridMultilevel"/>
    <w:tmpl w:val="28A6CFBA"/>
    <w:lvl w:ilvl="0" w:tplc="FEA82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072C63"/>
    <w:multiLevelType w:val="hybridMultilevel"/>
    <w:tmpl w:val="7958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C4525"/>
    <w:multiLevelType w:val="multilevel"/>
    <w:tmpl w:val="BAEA1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8" w15:restartNumberingAfterBreak="0">
    <w:nsid w:val="5A275ACF"/>
    <w:multiLevelType w:val="hybridMultilevel"/>
    <w:tmpl w:val="D94AA598"/>
    <w:lvl w:ilvl="0" w:tplc="B17A0964">
      <w:start w:val="1"/>
      <w:numFmt w:val="decimal"/>
      <w:lvlText w:val="2.%1"/>
      <w:lvlJc w:val="left"/>
      <w:pPr>
        <w:ind w:left="720" w:hanging="360"/>
      </w:pPr>
      <w:rPr>
        <w:spacing w:val="2"/>
        <w:position w:val="2"/>
      </w:rPr>
    </w:lvl>
    <w:lvl w:ilvl="1" w:tplc="230C013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A1044"/>
    <w:multiLevelType w:val="hybridMultilevel"/>
    <w:tmpl w:val="8C1A4EE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5C991453"/>
    <w:multiLevelType w:val="hybridMultilevel"/>
    <w:tmpl w:val="444A251C"/>
    <w:lvl w:ilvl="0" w:tplc="04150001">
      <w:numFmt w:val="decimal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numFmt w:val="decimal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5C1164"/>
    <w:multiLevelType w:val="hybridMultilevel"/>
    <w:tmpl w:val="95566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84A4F"/>
    <w:multiLevelType w:val="hybridMultilevel"/>
    <w:tmpl w:val="6F489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AA79BA"/>
    <w:multiLevelType w:val="hybridMultilevel"/>
    <w:tmpl w:val="4B182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91397D"/>
    <w:multiLevelType w:val="hybridMultilevel"/>
    <w:tmpl w:val="5838C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622EC2"/>
    <w:multiLevelType w:val="hybridMultilevel"/>
    <w:tmpl w:val="6D003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590B18"/>
    <w:multiLevelType w:val="hybridMultilevel"/>
    <w:tmpl w:val="685C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082969"/>
    <w:multiLevelType w:val="hybridMultilevel"/>
    <w:tmpl w:val="191E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FF23E3"/>
    <w:multiLevelType w:val="hybridMultilevel"/>
    <w:tmpl w:val="28A6CF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9B30C4"/>
    <w:multiLevelType w:val="hybridMultilevel"/>
    <w:tmpl w:val="A9F2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F10E4C"/>
    <w:multiLevelType w:val="multilevel"/>
    <w:tmpl w:val="1EAE4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6" w15:restartNumberingAfterBreak="0">
    <w:nsid w:val="797C67C7"/>
    <w:multiLevelType w:val="hybridMultilevel"/>
    <w:tmpl w:val="F44A5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E11FD6"/>
    <w:multiLevelType w:val="hybridMultilevel"/>
    <w:tmpl w:val="44746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850298">
    <w:abstractNumId w:val="59"/>
  </w:num>
  <w:num w:numId="2" w16cid:durableId="801084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787568">
    <w:abstractNumId w:val="42"/>
  </w:num>
  <w:num w:numId="4" w16cid:durableId="1330593356">
    <w:abstractNumId w:val="21"/>
  </w:num>
  <w:num w:numId="5" w16cid:durableId="709034908">
    <w:abstractNumId w:val="12"/>
  </w:num>
  <w:num w:numId="6" w16cid:durableId="439491423">
    <w:abstractNumId w:val="53"/>
  </w:num>
  <w:num w:numId="7" w16cid:durableId="1509170537">
    <w:abstractNumId w:val="14"/>
  </w:num>
  <w:num w:numId="8" w16cid:durableId="295530165">
    <w:abstractNumId w:val="23"/>
  </w:num>
  <w:num w:numId="9" w16cid:durableId="1587156366">
    <w:abstractNumId w:val="26"/>
  </w:num>
  <w:num w:numId="10" w16cid:durableId="1662855428">
    <w:abstractNumId w:val="1"/>
  </w:num>
  <w:num w:numId="11" w16cid:durableId="105673429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974107">
    <w:abstractNumId w:val="36"/>
  </w:num>
  <w:num w:numId="13" w16cid:durableId="1193494410">
    <w:abstractNumId w:val="53"/>
  </w:num>
  <w:num w:numId="14" w16cid:durableId="21286992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606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6843780">
    <w:abstractNumId w:val="23"/>
  </w:num>
  <w:num w:numId="17" w16cid:durableId="11265829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2828770">
    <w:abstractNumId w:val="10"/>
  </w:num>
  <w:num w:numId="19" w16cid:durableId="1092774878">
    <w:abstractNumId w:val="53"/>
  </w:num>
  <w:num w:numId="20" w16cid:durableId="169486401">
    <w:abstractNumId w:val="23"/>
  </w:num>
  <w:num w:numId="21" w16cid:durableId="1676373035">
    <w:abstractNumId w:val="10"/>
  </w:num>
  <w:num w:numId="22" w16cid:durableId="1190878803">
    <w:abstractNumId w:val="32"/>
  </w:num>
  <w:num w:numId="23" w16cid:durableId="447742238">
    <w:abstractNumId w:val="54"/>
  </w:num>
  <w:num w:numId="24" w16cid:durableId="1521242059">
    <w:abstractNumId w:val="28"/>
  </w:num>
  <w:num w:numId="25" w16cid:durableId="15647589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70124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7452241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3669860">
    <w:abstractNumId w:val="53"/>
  </w:num>
  <w:num w:numId="29" w16cid:durableId="1890993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2381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4834808">
    <w:abstractNumId w:val="2"/>
  </w:num>
  <w:num w:numId="32" w16cid:durableId="1341737940">
    <w:abstractNumId w:val="19"/>
  </w:num>
  <w:num w:numId="33" w16cid:durableId="1016076213">
    <w:abstractNumId w:val="56"/>
  </w:num>
  <w:num w:numId="34" w16cid:durableId="1607537329">
    <w:abstractNumId w:val="35"/>
  </w:num>
  <w:num w:numId="35" w16cid:durableId="437066737">
    <w:abstractNumId w:val="43"/>
  </w:num>
  <w:num w:numId="36" w16cid:durableId="1247956547">
    <w:abstractNumId w:val="49"/>
  </w:num>
  <w:num w:numId="37" w16cid:durableId="1736928075">
    <w:abstractNumId w:val="50"/>
  </w:num>
  <w:num w:numId="38" w16cid:durableId="771556546">
    <w:abstractNumId w:val="24"/>
  </w:num>
  <w:num w:numId="39" w16cid:durableId="18833981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206328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5075742">
    <w:abstractNumId w:val="53"/>
  </w:num>
  <w:num w:numId="42" w16cid:durableId="878127314">
    <w:abstractNumId w:val="18"/>
  </w:num>
  <w:num w:numId="43" w16cid:durableId="19554938">
    <w:abstractNumId w:val="52"/>
  </w:num>
  <w:num w:numId="44" w16cid:durableId="325985969">
    <w:abstractNumId w:val="0"/>
  </w:num>
  <w:num w:numId="45" w16cid:durableId="234242068">
    <w:abstractNumId w:val="5"/>
  </w:num>
  <w:num w:numId="46" w16cid:durableId="1694265933">
    <w:abstractNumId w:val="31"/>
  </w:num>
  <w:num w:numId="47" w16cid:durableId="325330951">
    <w:abstractNumId w:val="6"/>
  </w:num>
  <w:num w:numId="48" w16cid:durableId="529683919">
    <w:abstractNumId w:val="47"/>
  </w:num>
  <w:num w:numId="49" w16cid:durableId="1038166103">
    <w:abstractNumId w:val="46"/>
  </w:num>
  <w:num w:numId="50" w16cid:durableId="18054652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8142215">
    <w:abstractNumId w:val="4"/>
  </w:num>
  <w:num w:numId="52" w16cid:durableId="278222382">
    <w:abstractNumId w:val="29"/>
  </w:num>
  <w:num w:numId="53" w16cid:durableId="1599288676">
    <w:abstractNumId w:val="9"/>
  </w:num>
  <w:num w:numId="54" w16cid:durableId="347872735">
    <w:abstractNumId w:val="27"/>
  </w:num>
  <w:num w:numId="55" w16cid:durableId="1479765091">
    <w:abstractNumId w:val="40"/>
  </w:num>
  <w:num w:numId="56" w16cid:durableId="1076973253">
    <w:abstractNumId w:val="51"/>
  </w:num>
  <w:num w:numId="57" w16cid:durableId="1287127451">
    <w:abstractNumId w:val="34"/>
  </w:num>
  <w:num w:numId="58" w16cid:durableId="1809129777">
    <w:abstractNumId w:val="13"/>
  </w:num>
  <w:num w:numId="59" w16cid:durableId="2043239771">
    <w:abstractNumId w:val="11"/>
  </w:num>
  <w:num w:numId="60" w16cid:durableId="830097784">
    <w:abstractNumId w:val="41"/>
  </w:num>
  <w:num w:numId="61" w16cid:durableId="976108749">
    <w:abstractNumId w:val="8"/>
  </w:num>
  <w:num w:numId="62" w16cid:durableId="245306920">
    <w:abstractNumId w:val="57"/>
  </w:num>
  <w:num w:numId="63" w16cid:durableId="1293247149">
    <w:abstractNumId w:val="15"/>
  </w:num>
  <w:num w:numId="64" w16cid:durableId="1953241719">
    <w:abstractNumId w:val="55"/>
  </w:num>
  <w:num w:numId="65" w16cid:durableId="1235318173">
    <w:abstractNumId w:val="39"/>
  </w:num>
  <w:num w:numId="66" w16cid:durableId="1325157687">
    <w:abstractNumId w:val="16"/>
  </w:num>
  <w:num w:numId="67" w16cid:durableId="1611627350">
    <w:abstractNumId w:val="4"/>
  </w:num>
  <w:num w:numId="68" w16cid:durableId="1550650469">
    <w:abstractNumId w:val="48"/>
  </w:num>
  <w:num w:numId="69" w16cid:durableId="42981098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618880537">
    <w:abstractNumId w:val="30"/>
  </w:num>
  <w:num w:numId="71" w16cid:durableId="74062026">
    <w:abstractNumId w:val="25"/>
  </w:num>
  <w:num w:numId="72" w16cid:durableId="130679257">
    <w:abstractNumId w:val="39"/>
  </w:num>
  <w:num w:numId="73" w16cid:durableId="281767665">
    <w:abstractNumId w:val="17"/>
  </w:num>
  <w:num w:numId="74" w16cid:durableId="630789886">
    <w:abstractNumId w:val="7"/>
  </w:num>
  <w:num w:numId="75" w16cid:durableId="321004656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11FAA"/>
    <w:rsid w:val="000222D9"/>
    <w:rsid w:val="0002464D"/>
    <w:rsid w:val="000276CF"/>
    <w:rsid w:val="00030CC4"/>
    <w:rsid w:val="0003142D"/>
    <w:rsid w:val="0003437B"/>
    <w:rsid w:val="00035FFD"/>
    <w:rsid w:val="000454F0"/>
    <w:rsid w:val="00050999"/>
    <w:rsid w:val="0005255E"/>
    <w:rsid w:val="000539F9"/>
    <w:rsid w:val="00053AB5"/>
    <w:rsid w:val="0005571F"/>
    <w:rsid w:val="00061A5A"/>
    <w:rsid w:val="0006332B"/>
    <w:rsid w:val="000649AD"/>
    <w:rsid w:val="00075896"/>
    <w:rsid w:val="00077540"/>
    <w:rsid w:val="000866BC"/>
    <w:rsid w:val="00090923"/>
    <w:rsid w:val="00093C0B"/>
    <w:rsid w:val="000964C7"/>
    <w:rsid w:val="000A79DD"/>
    <w:rsid w:val="000A7C1B"/>
    <w:rsid w:val="000B1CD6"/>
    <w:rsid w:val="000B6036"/>
    <w:rsid w:val="000C5B50"/>
    <w:rsid w:val="000E41A9"/>
    <w:rsid w:val="000E4EE6"/>
    <w:rsid w:val="000F510E"/>
    <w:rsid w:val="0010577E"/>
    <w:rsid w:val="001057AE"/>
    <w:rsid w:val="0012017E"/>
    <w:rsid w:val="001230D2"/>
    <w:rsid w:val="00127062"/>
    <w:rsid w:val="00127141"/>
    <w:rsid w:val="0013143C"/>
    <w:rsid w:val="001322B2"/>
    <w:rsid w:val="00136112"/>
    <w:rsid w:val="0014525A"/>
    <w:rsid w:val="001519E0"/>
    <w:rsid w:val="0015355F"/>
    <w:rsid w:val="00170082"/>
    <w:rsid w:val="001733CE"/>
    <w:rsid w:val="00196AB1"/>
    <w:rsid w:val="001A6F12"/>
    <w:rsid w:val="001B55E5"/>
    <w:rsid w:val="001B665A"/>
    <w:rsid w:val="001D216C"/>
    <w:rsid w:val="001D4868"/>
    <w:rsid w:val="001D7995"/>
    <w:rsid w:val="001E71C3"/>
    <w:rsid w:val="001E7B14"/>
    <w:rsid w:val="001F192C"/>
    <w:rsid w:val="001F220F"/>
    <w:rsid w:val="00210E7D"/>
    <w:rsid w:val="00213FEE"/>
    <w:rsid w:val="002451DB"/>
    <w:rsid w:val="002501DE"/>
    <w:rsid w:val="002534BD"/>
    <w:rsid w:val="0025406D"/>
    <w:rsid w:val="002638C1"/>
    <w:rsid w:val="00267F42"/>
    <w:rsid w:val="002774EB"/>
    <w:rsid w:val="002837EB"/>
    <w:rsid w:val="00290E20"/>
    <w:rsid w:val="002914CD"/>
    <w:rsid w:val="00291D23"/>
    <w:rsid w:val="00293737"/>
    <w:rsid w:val="002A0C2F"/>
    <w:rsid w:val="002A5DF6"/>
    <w:rsid w:val="002B0283"/>
    <w:rsid w:val="002B4078"/>
    <w:rsid w:val="002B4B1F"/>
    <w:rsid w:val="002B589D"/>
    <w:rsid w:val="002C3493"/>
    <w:rsid w:val="002C59B3"/>
    <w:rsid w:val="002C7905"/>
    <w:rsid w:val="002D4A31"/>
    <w:rsid w:val="002E1CF3"/>
    <w:rsid w:val="002E7E14"/>
    <w:rsid w:val="002F371A"/>
    <w:rsid w:val="00311F00"/>
    <w:rsid w:val="00314FED"/>
    <w:rsid w:val="00317A28"/>
    <w:rsid w:val="003208C9"/>
    <w:rsid w:val="003216AE"/>
    <w:rsid w:val="00325EF2"/>
    <w:rsid w:val="0033020B"/>
    <w:rsid w:val="003360EF"/>
    <w:rsid w:val="00342C3F"/>
    <w:rsid w:val="0034367A"/>
    <w:rsid w:val="003451F1"/>
    <w:rsid w:val="00345CDA"/>
    <w:rsid w:val="00345F42"/>
    <w:rsid w:val="00347058"/>
    <w:rsid w:val="0035600B"/>
    <w:rsid w:val="003566E6"/>
    <w:rsid w:val="00357240"/>
    <w:rsid w:val="00367A12"/>
    <w:rsid w:val="003726B8"/>
    <w:rsid w:val="0037473F"/>
    <w:rsid w:val="00375442"/>
    <w:rsid w:val="00376742"/>
    <w:rsid w:val="00386661"/>
    <w:rsid w:val="00387A38"/>
    <w:rsid w:val="00396417"/>
    <w:rsid w:val="00397968"/>
    <w:rsid w:val="003B0122"/>
    <w:rsid w:val="003B0D27"/>
    <w:rsid w:val="003B3440"/>
    <w:rsid w:val="003B510A"/>
    <w:rsid w:val="003B58C8"/>
    <w:rsid w:val="003D5830"/>
    <w:rsid w:val="003D6B3E"/>
    <w:rsid w:val="003E0311"/>
    <w:rsid w:val="003E194C"/>
    <w:rsid w:val="003E3F85"/>
    <w:rsid w:val="003E54E3"/>
    <w:rsid w:val="003E5517"/>
    <w:rsid w:val="003F0537"/>
    <w:rsid w:val="003F4C93"/>
    <w:rsid w:val="00405737"/>
    <w:rsid w:val="00410F97"/>
    <w:rsid w:val="004245E9"/>
    <w:rsid w:val="00426C01"/>
    <w:rsid w:val="004316B2"/>
    <w:rsid w:val="00433661"/>
    <w:rsid w:val="00433BF4"/>
    <w:rsid w:val="00441C01"/>
    <w:rsid w:val="0044313C"/>
    <w:rsid w:val="00443FFD"/>
    <w:rsid w:val="004457F3"/>
    <w:rsid w:val="00462913"/>
    <w:rsid w:val="00474CC7"/>
    <w:rsid w:val="00481B95"/>
    <w:rsid w:val="004A1AB6"/>
    <w:rsid w:val="004A2BC6"/>
    <w:rsid w:val="004A3CCB"/>
    <w:rsid w:val="004A60D2"/>
    <w:rsid w:val="004B1D14"/>
    <w:rsid w:val="004B457F"/>
    <w:rsid w:val="004B7F7E"/>
    <w:rsid w:val="004C609A"/>
    <w:rsid w:val="004E1F23"/>
    <w:rsid w:val="00501742"/>
    <w:rsid w:val="00501B93"/>
    <w:rsid w:val="00506FFE"/>
    <w:rsid w:val="00510272"/>
    <w:rsid w:val="00510297"/>
    <w:rsid w:val="00512C1C"/>
    <w:rsid w:val="00517373"/>
    <w:rsid w:val="0052322A"/>
    <w:rsid w:val="0052653E"/>
    <w:rsid w:val="0052744F"/>
    <w:rsid w:val="0052776F"/>
    <w:rsid w:val="0053178C"/>
    <w:rsid w:val="005364D3"/>
    <w:rsid w:val="005377DA"/>
    <w:rsid w:val="00544851"/>
    <w:rsid w:val="00547058"/>
    <w:rsid w:val="005654A0"/>
    <w:rsid w:val="00567C1D"/>
    <w:rsid w:val="005772CC"/>
    <w:rsid w:val="0058143C"/>
    <w:rsid w:val="005824B6"/>
    <w:rsid w:val="005921D1"/>
    <w:rsid w:val="005A36E3"/>
    <w:rsid w:val="005B047F"/>
    <w:rsid w:val="005B1382"/>
    <w:rsid w:val="005B7AFF"/>
    <w:rsid w:val="005C4DF2"/>
    <w:rsid w:val="005C5D94"/>
    <w:rsid w:val="005D0382"/>
    <w:rsid w:val="005D1E0C"/>
    <w:rsid w:val="005D3FCF"/>
    <w:rsid w:val="005D5857"/>
    <w:rsid w:val="005D783B"/>
    <w:rsid w:val="005F17B8"/>
    <w:rsid w:val="005F181A"/>
    <w:rsid w:val="005F53FD"/>
    <w:rsid w:val="00602361"/>
    <w:rsid w:val="00602590"/>
    <w:rsid w:val="00614177"/>
    <w:rsid w:val="00621B06"/>
    <w:rsid w:val="00624501"/>
    <w:rsid w:val="00631F5C"/>
    <w:rsid w:val="00633180"/>
    <w:rsid w:val="00654ABF"/>
    <w:rsid w:val="00662CDF"/>
    <w:rsid w:val="00662E21"/>
    <w:rsid w:val="00666EAC"/>
    <w:rsid w:val="00672733"/>
    <w:rsid w:val="006760E0"/>
    <w:rsid w:val="00682940"/>
    <w:rsid w:val="0069519D"/>
    <w:rsid w:val="0069551A"/>
    <w:rsid w:val="006A4EBD"/>
    <w:rsid w:val="006A68E5"/>
    <w:rsid w:val="006B320C"/>
    <w:rsid w:val="006C2319"/>
    <w:rsid w:val="006C7929"/>
    <w:rsid w:val="006D2810"/>
    <w:rsid w:val="006D6BE0"/>
    <w:rsid w:val="006F0C4A"/>
    <w:rsid w:val="006F15B8"/>
    <w:rsid w:val="006F3F20"/>
    <w:rsid w:val="006F5DF6"/>
    <w:rsid w:val="00725320"/>
    <w:rsid w:val="007352F4"/>
    <w:rsid w:val="007428AC"/>
    <w:rsid w:val="00757868"/>
    <w:rsid w:val="0076239B"/>
    <w:rsid w:val="00772440"/>
    <w:rsid w:val="00774A09"/>
    <w:rsid w:val="007821DD"/>
    <w:rsid w:val="00784FE0"/>
    <w:rsid w:val="00787C3C"/>
    <w:rsid w:val="00793D51"/>
    <w:rsid w:val="007973DF"/>
    <w:rsid w:val="007B115D"/>
    <w:rsid w:val="007B77E0"/>
    <w:rsid w:val="007D28AF"/>
    <w:rsid w:val="007D37BE"/>
    <w:rsid w:val="007E3C15"/>
    <w:rsid w:val="007F148F"/>
    <w:rsid w:val="007F2913"/>
    <w:rsid w:val="007F6563"/>
    <w:rsid w:val="007F6903"/>
    <w:rsid w:val="008046A0"/>
    <w:rsid w:val="00812E8A"/>
    <w:rsid w:val="008159C5"/>
    <w:rsid w:val="00826F37"/>
    <w:rsid w:val="0084073A"/>
    <w:rsid w:val="00841404"/>
    <w:rsid w:val="00842F12"/>
    <w:rsid w:val="00846272"/>
    <w:rsid w:val="008468D4"/>
    <w:rsid w:val="00851459"/>
    <w:rsid w:val="008521D9"/>
    <w:rsid w:val="008549F4"/>
    <w:rsid w:val="00857A25"/>
    <w:rsid w:val="0087503D"/>
    <w:rsid w:val="00880627"/>
    <w:rsid w:val="00881B69"/>
    <w:rsid w:val="00883CC1"/>
    <w:rsid w:val="00890A00"/>
    <w:rsid w:val="0089237C"/>
    <w:rsid w:val="008A1A16"/>
    <w:rsid w:val="008A31EC"/>
    <w:rsid w:val="008A3F05"/>
    <w:rsid w:val="008C7FB4"/>
    <w:rsid w:val="008D3648"/>
    <w:rsid w:val="008D5245"/>
    <w:rsid w:val="008E10DB"/>
    <w:rsid w:val="008F52C6"/>
    <w:rsid w:val="009178DE"/>
    <w:rsid w:val="00920E55"/>
    <w:rsid w:val="009222DF"/>
    <w:rsid w:val="0092311E"/>
    <w:rsid w:val="009306F2"/>
    <w:rsid w:val="00933371"/>
    <w:rsid w:val="0093694B"/>
    <w:rsid w:val="00936D29"/>
    <w:rsid w:val="00937765"/>
    <w:rsid w:val="009415BF"/>
    <w:rsid w:val="00954020"/>
    <w:rsid w:val="00956FA9"/>
    <w:rsid w:val="0096468C"/>
    <w:rsid w:val="009655BA"/>
    <w:rsid w:val="0096649F"/>
    <w:rsid w:val="009672C6"/>
    <w:rsid w:val="0096789E"/>
    <w:rsid w:val="009716A3"/>
    <w:rsid w:val="009742C8"/>
    <w:rsid w:val="00974CCE"/>
    <w:rsid w:val="00983332"/>
    <w:rsid w:val="0098521D"/>
    <w:rsid w:val="009865B4"/>
    <w:rsid w:val="009921BB"/>
    <w:rsid w:val="00992919"/>
    <w:rsid w:val="0099557C"/>
    <w:rsid w:val="009A1BA5"/>
    <w:rsid w:val="009A3F5B"/>
    <w:rsid w:val="009A462B"/>
    <w:rsid w:val="009C086B"/>
    <w:rsid w:val="009D1CB5"/>
    <w:rsid w:val="009D7AF2"/>
    <w:rsid w:val="009E09C6"/>
    <w:rsid w:val="009E5204"/>
    <w:rsid w:val="009F5BBD"/>
    <w:rsid w:val="009F7723"/>
    <w:rsid w:val="00A04A3A"/>
    <w:rsid w:val="00A1565B"/>
    <w:rsid w:val="00A3030B"/>
    <w:rsid w:val="00A34C3C"/>
    <w:rsid w:val="00A40813"/>
    <w:rsid w:val="00A40A1C"/>
    <w:rsid w:val="00A4142D"/>
    <w:rsid w:val="00A47BA9"/>
    <w:rsid w:val="00A60098"/>
    <w:rsid w:val="00A60B09"/>
    <w:rsid w:val="00A673FC"/>
    <w:rsid w:val="00A7089A"/>
    <w:rsid w:val="00A76F2C"/>
    <w:rsid w:val="00A77058"/>
    <w:rsid w:val="00A86951"/>
    <w:rsid w:val="00A91450"/>
    <w:rsid w:val="00A9627E"/>
    <w:rsid w:val="00AA2A27"/>
    <w:rsid w:val="00AA667A"/>
    <w:rsid w:val="00AA6FB8"/>
    <w:rsid w:val="00AB0E04"/>
    <w:rsid w:val="00AB347C"/>
    <w:rsid w:val="00AC3A64"/>
    <w:rsid w:val="00AC7A42"/>
    <w:rsid w:val="00AE2193"/>
    <w:rsid w:val="00AE4D6F"/>
    <w:rsid w:val="00AF13C5"/>
    <w:rsid w:val="00AF74D9"/>
    <w:rsid w:val="00B0175C"/>
    <w:rsid w:val="00B0403F"/>
    <w:rsid w:val="00B06DDA"/>
    <w:rsid w:val="00B07C6D"/>
    <w:rsid w:val="00B1064C"/>
    <w:rsid w:val="00B15CBB"/>
    <w:rsid w:val="00B15EFF"/>
    <w:rsid w:val="00B23EBC"/>
    <w:rsid w:val="00B254E3"/>
    <w:rsid w:val="00B26F50"/>
    <w:rsid w:val="00B2793F"/>
    <w:rsid w:val="00B331BB"/>
    <w:rsid w:val="00B412F9"/>
    <w:rsid w:val="00B47D97"/>
    <w:rsid w:val="00B538BE"/>
    <w:rsid w:val="00B54D5B"/>
    <w:rsid w:val="00B55C13"/>
    <w:rsid w:val="00B56142"/>
    <w:rsid w:val="00B73CEB"/>
    <w:rsid w:val="00B77421"/>
    <w:rsid w:val="00B84135"/>
    <w:rsid w:val="00B9165F"/>
    <w:rsid w:val="00BA1FE1"/>
    <w:rsid w:val="00BB5DF7"/>
    <w:rsid w:val="00BC13F4"/>
    <w:rsid w:val="00BD682A"/>
    <w:rsid w:val="00BE0E79"/>
    <w:rsid w:val="00BE3CCB"/>
    <w:rsid w:val="00BE6079"/>
    <w:rsid w:val="00BF1C08"/>
    <w:rsid w:val="00BF408E"/>
    <w:rsid w:val="00BF5088"/>
    <w:rsid w:val="00C03380"/>
    <w:rsid w:val="00C041B7"/>
    <w:rsid w:val="00C05FAD"/>
    <w:rsid w:val="00C15D5B"/>
    <w:rsid w:val="00C220FF"/>
    <w:rsid w:val="00C3093F"/>
    <w:rsid w:val="00C31913"/>
    <w:rsid w:val="00C3601D"/>
    <w:rsid w:val="00C53814"/>
    <w:rsid w:val="00C61302"/>
    <w:rsid w:val="00C61B61"/>
    <w:rsid w:val="00C6203F"/>
    <w:rsid w:val="00C65F23"/>
    <w:rsid w:val="00C66D9B"/>
    <w:rsid w:val="00C7392C"/>
    <w:rsid w:val="00C76B77"/>
    <w:rsid w:val="00C8507E"/>
    <w:rsid w:val="00C86BC6"/>
    <w:rsid w:val="00C94104"/>
    <w:rsid w:val="00CA003A"/>
    <w:rsid w:val="00CA38A5"/>
    <w:rsid w:val="00CA54C0"/>
    <w:rsid w:val="00CA5DDC"/>
    <w:rsid w:val="00CB4853"/>
    <w:rsid w:val="00CB75F4"/>
    <w:rsid w:val="00CC273E"/>
    <w:rsid w:val="00CC5EC3"/>
    <w:rsid w:val="00CD4115"/>
    <w:rsid w:val="00CD440C"/>
    <w:rsid w:val="00CD4D0B"/>
    <w:rsid w:val="00CD5248"/>
    <w:rsid w:val="00CE2C64"/>
    <w:rsid w:val="00CF54B4"/>
    <w:rsid w:val="00CF69DE"/>
    <w:rsid w:val="00D00287"/>
    <w:rsid w:val="00D023D0"/>
    <w:rsid w:val="00D03A1C"/>
    <w:rsid w:val="00D0584C"/>
    <w:rsid w:val="00D10B6B"/>
    <w:rsid w:val="00D23F7D"/>
    <w:rsid w:val="00D304B4"/>
    <w:rsid w:val="00D44A66"/>
    <w:rsid w:val="00D45D0D"/>
    <w:rsid w:val="00D473B2"/>
    <w:rsid w:val="00D5698C"/>
    <w:rsid w:val="00D62933"/>
    <w:rsid w:val="00D63CF7"/>
    <w:rsid w:val="00D67825"/>
    <w:rsid w:val="00D7040F"/>
    <w:rsid w:val="00D73A2E"/>
    <w:rsid w:val="00D74B48"/>
    <w:rsid w:val="00D80BEC"/>
    <w:rsid w:val="00D8242A"/>
    <w:rsid w:val="00D911A6"/>
    <w:rsid w:val="00D91BCB"/>
    <w:rsid w:val="00D92721"/>
    <w:rsid w:val="00DA1329"/>
    <w:rsid w:val="00DA5AD7"/>
    <w:rsid w:val="00DA6CA8"/>
    <w:rsid w:val="00DB1B40"/>
    <w:rsid w:val="00DB4851"/>
    <w:rsid w:val="00DC0150"/>
    <w:rsid w:val="00DC3156"/>
    <w:rsid w:val="00DD4437"/>
    <w:rsid w:val="00DE6D21"/>
    <w:rsid w:val="00DF4C47"/>
    <w:rsid w:val="00E07F93"/>
    <w:rsid w:val="00E14228"/>
    <w:rsid w:val="00E16D1D"/>
    <w:rsid w:val="00E21F21"/>
    <w:rsid w:val="00E23FBA"/>
    <w:rsid w:val="00E24DFF"/>
    <w:rsid w:val="00E24F27"/>
    <w:rsid w:val="00E259DB"/>
    <w:rsid w:val="00E31F8C"/>
    <w:rsid w:val="00E36D9F"/>
    <w:rsid w:val="00E41CD3"/>
    <w:rsid w:val="00E46EEF"/>
    <w:rsid w:val="00E47AAE"/>
    <w:rsid w:val="00E515F4"/>
    <w:rsid w:val="00E55DD2"/>
    <w:rsid w:val="00E60778"/>
    <w:rsid w:val="00E607D9"/>
    <w:rsid w:val="00E6108F"/>
    <w:rsid w:val="00E61BDD"/>
    <w:rsid w:val="00E666C2"/>
    <w:rsid w:val="00E92A27"/>
    <w:rsid w:val="00E935E6"/>
    <w:rsid w:val="00EA3B11"/>
    <w:rsid w:val="00EA59A6"/>
    <w:rsid w:val="00EB12D5"/>
    <w:rsid w:val="00EB41BF"/>
    <w:rsid w:val="00EC0572"/>
    <w:rsid w:val="00ED3DA9"/>
    <w:rsid w:val="00ED45A4"/>
    <w:rsid w:val="00ED4886"/>
    <w:rsid w:val="00EE1037"/>
    <w:rsid w:val="00EF0B2A"/>
    <w:rsid w:val="00EF7287"/>
    <w:rsid w:val="00F0379A"/>
    <w:rsid w:val="00F03935"/>
    <w:rsid w:val="00F06C95"/>
    <w:rsid w:val="00F11384"/>
    <w:rsid w:val="00F15A97"/>
    <w:rsid w:val="00F24329"/>
    <w:rsid w:val="00F24738"/>
    <w:rsid w:val="00F25F1B"/>
    <w:rsid w:val="00F30493"/>
    <w:rsid w:val="00F30A74"/>
    <w:rsid w:val="00F44729"/>
    <w:rsid w:val="00F46B2F"/>
    <w:rsid w:val="00F4704E"/>
    <w:rsid w:val="00F47893"/>
    <w:rsid w:val="00F52E71"/>
    <w:rsid w:val="00F577A2"/>
    <w:rsid w:val="00F770CE"/>
    <w:rsid w:val="00F86E5A"/>
    <w:rsid w:val="00F93782"/>
    <w:rsid w:val="00F9753F"/>
    <w:rsid w:val="00FB12F8"/>
    <w:rsid w:val="00FB36BF"/>
    <w:rsid w:val="00FB38D3"/>
    <w:rsid w:val="00FB5350"/>
    <w:rsid w:val="00FB74F7"/>
    <w:rsid w:val="00FC124D"/>
    <w:rsid w:val="00FC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paragraph" w:styleId="Poprawka">
    <w:name w:val="Revision"/>
    <w:hidden/>
    <w:uiPriority w:val="99"/>
    <w:semiHidden/>
    <w:rsid w:val="00F9753F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6B2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4C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4CD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4C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3042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Bogumiła Zarzycka</cp:lastModifiedBy>
  <cp:revision>45</cp:revision>
  <cp:lastPrinted>2024-05-28T14:21:00Z</cp:lastPrinted>
  <dcterms:created xsi:type="dcterms:W3CDTF">2024-11-11T22:26:00Z</dcterms:created>
  <dcterms:modified xsi:type="dcterms:W3CDTF">2024-12-11T09:02:00Z</dcterms:modified>
</cp:coreProperties>
</file>