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87A9A16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DB4395">
        <w:rPr>
          <w:color w:val="1F3864" w:themeColor="accent1" w:themeShade="80"/>
        </w:rPr>
        <w:t>113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6D7CA07F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DB4395">
        <w:rPr>
          <w:b/>
        </w:rPr>
        <w:t>113</w:t>
      </w:r>
      <w:bookmarkStart w:id="0" w:name="_GoBack"/>
      <w:bookmarkEnd w:id="0"/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7F123A">
        <w:rPr>
          <w:b/>
        </w:rPr>
        <w:t xml:space="preserve">Dostawa </w:t>
      </w:r>
      <w:r w:rsidR="00886CF6">
        <w:rPr>
          <w:b/>
        </w:rPr>
        <w:t>ekranu holograficznego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08645093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147D35">
        <w:t>4</w:t>
      </w:r>
      <w:r>
        <w:t xml:space="preserve"> r. poz. </w:t>
      </w:r>
      <w:r w:rsidR="00147D35">
        <w:t>619</w:t>
      </w:r>
      <w:r w:rsidR="00A4208F">
        <w:t xml:space="preserve">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7F123A">
      <w:headerReference w:type="default" r:id="rId8"/>
      <w:footerReference w:type="default" r:id="rId9"/>
      <w:pgSz w:w="11906" w:h="16838" w:code="9"/>
      <w:pgMar w:top="1134" w:right="1134" w:bottom="567" w:left="1134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F123A" w:rsidRPr="00D063C5" w14:paraId="1A092AA3" w14:textId="77777777" w:rsidTr="00424308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2AB055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2" w:name="_Hlk98499597"/>
          <w:bookmarkStart w:id="3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5F85331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229C32F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5D5B7E4D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CB580CF" wp14:editId="0A1B7DFD">
                <wp:extent cx="2174562" cy="257175"/>
                <wp:effectExtent l="0" t="0" r="0" b="0"/>
                <wp:docPr id="18" name="Obraz 1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bookmarkEnd w:id="3"/>
  <w:p w14:paraId="0FB91FD0" w14:textId="5BBCFEE4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7C8B6291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Sans" w:hAnsi="PT Sans" w:cstheme="minorHAnsi"/>
      </w:rPr>
      <w:id w:val="-2092148503"/>
      <w:docPartObj>
        <w:docPartGallery w:val="Page Numbers (Margins)"/>
        <w:docPartUnique/>
      </w:docPartObj>
    </w:sdtPr>
    <w:sdtEndPr/>
    <w:sdtContent>
      <w:p w14:paraId="3057370A" w14:textId="10C3C699" w:rsidR="00E04CF1" w:rsidRPr="0067225F" w:rsidRDefault="007F123A" w:rsidP="00515BC3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PT Sans" w:hAnsi="PT Sans" w:cstheme="minorHAnsi"/>
          </w:rPr>
        </w:pPr>
        <w:r w:rsidRPr="007F123A">
          <w:rPr>
            <w:rFonts w:ascii="PT Sans" w:hAnsi="PT Sans" w:cstheme="minorHAnsi"/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0" allowOverlap="1" wp14:anchorId="6EC84060" wp14:editId="30A4A2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8C87" w14:textId="68CDFCF4" w:rsidR="007F123A" w:rsidRPr="007F123A" w:rsidRDefault="007F123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F123A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C84060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5A8C87" w14:textId="68CDFCF4" w:rsidR="007F123A" w:rsidRPr="007F123A" w:rsidRDefault="007F123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 xml:space="preserve"> </w: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7F123A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53F1A5" w14:textId="77777777" w:rsidR="007F123A" w:rsidRDefault="007F123A" w:rsidP="007F123A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0B83941B" wp14:editId="51D590D8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9E90A" w14:textId="77777777" w:rsidR="007F123A" w:rsidRDefault="007F123A" w:rsidP="007F123A">
    <w:pPr>
      <w:pStyle w:val="Nagwek"/>
    </w:pPr>
  </w:p>
  <w:p w14:paraId="561DCA8C" w14:textId="77777777" w:rsidR="007F123A" w:rsidRDefault="007F123A" w:rsidP="007F123A">
    <w:pPr>
      <w:pStyle w:val="Nagwek"/>
      <w:jc w:val="center"/>
    </w:pPr>
  </w:p>
  <w:p w14:paraId="4FF03EC1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4EA444D5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EF18D9A" w14:textId="77777777" w:rsidR="007F123A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3D207D6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740AD10B" w14:textId="65AA33FC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26297"/>
    <w:rsid w:val="00140517"/>
    <w:rsid w:val="001463E7"/>
    <w:rsid w:val="00147280"/>
    <w:rsid w:val="00147D35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23A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86CF6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77BFF"/>
    <w:rsid w:val="00D83EC3"/>
    <w:rsid w:val="00D85C54"/>
    <w:rsid w:val="00D963CD"/>
    <w:rsid w:val="00DA74F9"/>
    <w:rsid w:val="00DB1944"/>
    <w:rsid w:val="00DB261B"/>
    <w:rsid w:val="00DB4395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7F123A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E6E3E-9E40-49F4-8058-9FE31471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11</cp:revision>
  <cp:lastPrinted>2023-06-02T05:58:00Z</cp:lastPrinted>
  <dcterms:created xsi:type="dcterms:W3CDTF">2021-02-01T09:24:00Z</dcterms:created>
  <dcterms:modified xsi:type="dcterms:W3CDTF">2024-11-21T12:36:00Z</dcterms:modified>
</cp:coreProperties>
</file>