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08D93C18"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0E30B16"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322C93B0"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755BD1">
        <w:rPr>
          <w:rFonts w:ascii="Cambria" w:hAnsi="Cambria" w:cs="Arial"/>
          <w:sz w:val="22"/>
          <w:szCs w:val="22"/>
          <w:lang w:eastAsia="pl-PL"/>
        </w:rPr>
        <w:t>.</w:t>
      </w:r>
      <w:r>
        <w:rPr>
          <w:rFonts w:ascii="Cambria" w:hAnsi="Cambria" w:cs="Arial"/>
          <w:sz w:val="22"/>
          <w:szCs w:val="22"/>
          <w:lang w:eastAsia="pl-PL"/>
        </w:rPr>
        <w:t xml:space="preserve"> </w:t>
      </w:r>
    </w:p>
    <w:p w14:paraId="7947CFC0" w14:textId="00463A30"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0279DDB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984E03">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5" w:name="_Toc68356757"/>
      <w:r>
        <w:rPr>
          <w:rFonts w:ascii="Cambria" w:hAnsi="Cambria" w:cs="Arial"/>
          <w:b/>
          <w:bCs/>
          <w:kern w:val="32"/>
          <w:sz w:val="22"/>
          <w:szCs w:val="22"/>
          <w:lang w:eastAsia="pl-PL"/>
        </w:rPr>
        <w:br/>
        <w:t>Kary umowne</w:t>
      </w:r>
      <w:bookmarkEnd w:id="5"/>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6"/>
    <w:bookmarkEnd w:id="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Pr>
          <w:rFonts w:ascii="Cambria" w:hAnsi="Cambria" w:cs="Arial"/>
          <w:sz w:val="22"/>
          <w:szCs w:val="22"/>
          <w:lang w:eastAsia="pl-PL"/>
        </w:rPr>
        <w:lastRenderedPageBreak/>
        <w:t>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 w:name="_Toc68356761"/>
      <w:r>
        <w:rPr>
          <w:rFonts w:ascii="Cambria" w:hAnsi="Cambria" w:cs="Arial"/>
          <w:b/>
          <w:sz w:val="22"/>
          <w:szCs w:val="22"/>
          <w:lang w:eastAsia="pl-PL"/>
        </w:rPr>
        <w:br/>
        <w:t>Ubezpieczenia</w:t>
      </w:r>
      <w:bookmarkEnd w:id="10"/>
    </w:p>
    <w:p w14:paraId="557FC8CA" w14:textId="6C513EE2"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984E03">
        <w:rPr>
          <w:rFonts w:ascii="Cambria" w:hAnsi="Cambria" w:cs="Arial"/>
          <w:sz w:val="22"/>
          <w:szCs w:val="22"/>
          <w:lang w:eastAsia="pl-PL"/>
        </w:rPr>
        <w:t>500.000,00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 w:name="_Hlk43745153"/>
      <w:r>
        <w:rPr>
          <w:rFonts w:ascii="Cambria" w:hAnsi="Cambria" w:cs="Arial"/>
          <w:sz w:val="22"/>
          <w:szCs w:val="22"/>
          <w:lang w:eastAsia="pl-PL"/>
        </w:rPr>
        <w:t>Zmiana nie może pociągnąć za sobą zwiększenia wynagrodzenia należnego Wykonawcy</w:t>
      </w:r>
      <w:bookmarkEnd w:id="11"/>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3846C34" w14:textId="64238E54" w:rsidR="00B234A3" w:rsidRDefault="0013110C" w:rsidP="00B234A3">
      <w:pPr>
        <w:tabs>
          <w:tab w:val="left" w:pos="1134"/>
        </w:tabs>
        <w:suppressAutoHyphens w:val="0"/>
        <w:spacing w:before="120"/>
        <w:jc w:val="right"/>
      </w:pPr>
      <w:r>
        <w:rPr>
          <w:rFonts w:ascii="Cambria" w:hAnsi="Cambria" w:cs="Arial"/>
          <w:color w:val="000000"/>
          <w:sz w:val="22"/>
          <w:szCs w:val="22"/>
          <w:lang w:eastAsia="pl-PL"/>
        </w:rPr>
        <w:br w:type="page"/>
      </w:r>
      <w:bookmarkStart w:id="12" w:name="_GoBack"/>
      <w:bookmarkEnd w:id="12"/>
    </w:p>
    <w:p w14:paraId="0D1DB614" w14:textId="10F5E710" w:rsidR="0013110C" w:rsidRDefault="00604DD0"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54BB" w14:textId="77777777" w:rsidR="00AD505F" w:rsidRDefault="00AD505F">
      <w:r>
        <w:separator/>
      </w:r>
    </w:p>
  </w:endnote>
  <w:endnote w:type="continuationSeparator" w:id="0">
    <w:p w14:paraId="64FF7BD8" w14:textId="77777777" w:rsidR="00AD505F" w:rsidRDefault="00AD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4A87DE2"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234A3">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4057E" w14:textId="77777777" w:rsidR="00AD505F" w:rsidRDefault="00AD505F">
      <w:r>
        <w:separator/>
      </w:r>
    </w:p>
  </w:footnote>
  <w:footnote w:type="continuationSeparator" w:id="0">
    <w:p w14:paraId="3C5A0F3C" w14:textId="77777777" w:rsidR="00AD505F" w:rsidRDefault="00AD5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8FA"/>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BD1"/>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4E6A"/>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1DA"/>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4E0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98A"/>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05F"/>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34A3"/>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71C8-6F23-4FFD-98B9-BFBBE215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8641</Words>
  <Characters>51846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Władysław Kowalik (Nadl. Dąbrowa Tar.)</cp:lastModifiedBy>
  <cp:revision>9</cp:revision>
  <cp:lastPrinted>2017-05-23T11:32:00Z</cp:lastPrinted>
  <dcterms:created xsi:type="dcterms:W3CDTF">2021-09-08T10:28:00Z</dcterms:created>
  <dcterms:modified xsi:type="dcterms:W3CDTF">2021-10-18T05:14:00Z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