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75AFD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ZP.272.1.17.</w:t>
      </w:r>
      <w:r w:rsidR="000B60F9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575AFD" w:rsidRDefault="00575AFD" w:rsidP="00581A47">
      <w:pPr>
        <w:jc w:val="both"/>
        <w:rPr>
          <w:b/>
          <w:sz w:val="22"/>
        </w:rPr>
      </w:pPr>
      <w:r w:rsidRPr="00575AFD">
        <w:rPr>
          <w:b/>
          <w:sz w:val="22"/>
        </w:rPr>
        <w:t>usługa polegająca na udostępnieniu i wdrożeniu platformy zintegrowanego systemu informatycznego obejmującego dwa moduły: do obsługi budżetu i sprawozdań finansowych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75AFD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2023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C6575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575AFD">
        <w:rPr>
          <w:b/>
          <w:bCs/>
          <w:sz w:val="22"/>
        </w:rPr>
        <w:t>ZP.272.1.17</w:t>
      </w:r>
      <w:r>
        <w:rPr>
          <w:b/>
          <w:bCs/>
          <w:sz w:val="22"/>
        </w:rPr>
        <w:t>.202</w:t>
      </w:r>
      <w:r w:rsidR="000B60F9">
        <w:rPr>
          <w:b/>
          <w:bCs/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575AFD" w:rsidRPr="00575AFD" w:rsidRDefault="009001F1" w:rsidP="00575AFD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napToGrid w:val="0"/>
          <w:sz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575AFD">
        <w:rPr>
          <w:b w:val="0"/>
          <w:snapToGrid w:val="0"/>
          <w:sz w:val="22"/>
          <w:szCs w:val="22"/>
        </w:rPr>
        <w:t xml:space="preserve"> </w:t>
      </w:r>
      <w:r w:rsidR="00575AFD" w:rsidRPr="00575AFD">
        <w:rPr>
          <w:b w:val="0"/>
          <w:snapToGrid w:val="0"/>
          <w:sz w:val="22"/>
        </w:rPr>
        <w:t xml:space="preserve">usługa polegającą na udostępnieniu i wdrożeniu platformy zintegrowanego systemu informatycznego obejmującego dwa moduły: </w:t>
      </w:r>
    </w:p>
    <w:p w:rsidR="00575AFD" w:rsidRPr="00575AFD" w:rsidRDefault="00575AFD" w:rsidP="00575AFD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snapToGrid w:val="0"/>
          <w:sz w:val="22"/>
        </w:rPr>
      </w:pPr>
      <w:r w:rsidRPr="00575AFD">
        <w:rPr>
          <w:b w:val="0"/>
          <w:snapToGrid w:val="0"/>
          <w:sz w:val="22"/>
        </w:rPr>
        <w:t xml:space="preserve">a) moduł wspomagający obsługę budżetu w formie platformy online, </w:t>
      </w:r>
    </w:p>
    <w:p w:rsidR="009001F1" w:rsidRPr="00575AFD" w:rsidRDefault="00575AFD" w:rsidP="00575AFD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bCs/>
          <w:snapToGrid w:val="0"/>
          <w:sz w:val="22"/>
        </w:rPr>
      </w:pPr>
      <w:r w:rsidRPr="00575AFD">
        <w:rPr>
          <w:b w:val="0"/>
          <w:snapToGrid w:val="0"/>
          <w:sz w:val="22"/>
        </w:rPr>
        <w:t>b) moduł do sporządzania sprawozdań finansowych jednostkowych, sprawozdań łącznych i sprawozdania skonsolidowanego w formie platformy online.</w:t>
      </w:r>
    </w:p>
    <w:p w:rsidR="009001F1" w:rsidRPr="00F03595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color w:val="FF000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</w:t>
      </w:r>
      <w:r w:rsidR="007C794C">
        <w:rPr>
          <w:b w:val="0"/>
          <w:snapToGrid w:val="0"/>
          <w:sz w:val="22"/>
          <w:szCs w:val="22"/>
        </w:rPr>
        <w:t xml:space="preserve">( zwany SOPZ) </w:t>
      </w:r>
      <w:r w:rsidRPr="00812F48">
        <w:rPr>
          <w:b w:val="0"/>
          <w:snapToGrid w:val="0"/>
          <w:sz w:val="22"/>
          <w:szCs w:val="22"/>
        </w:rPr>
        <w:t xml:space="preserve">stanowi załącznik nr </w:t>
      </w:r>
      <w:r w:rsidR="00575AFD">
        <w:rPr>
          <w:b w:val="0"/>
          <w:snapToGrid w:val="0"/>
          <w:sz w:val="22"/>
          <w:szCs w:val="22"/>
        </w:rPr>
        <w:t>1 do SWZ</w:t>
      </w:r>
      <w:r w:rsidR="00F03595">
        <w:rPr>
          <w:b w:val="0"/>
          <w:snapToGrid w:val="0"/>
          <w:sz w:val="22"/>
          <w:szCs w:val="22"/>
        </w:rPr>
        <w:t xml:space="preserve"> </w:t>
      </w:r>
      <w:r w:rsidR="00F03595" w:rsidRPr="00341F99">
        <w:rPr>
          <w:b w:val="0"/>
          <w:snapToGrid w:val="0"/>
          <w:sz w:val="22"/>
          <w:szCs w:val="22"/>
        </w:rPr>
        <w:t>oraz załączniki do SOPZ.</w:t>
      </w:r>
    </w:p>
    <w:p w:rsidR="009001F1" w:rsidRPr="00575AFD" w:rsidRDefault="009001F1" w:rsidP="00575AF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575AFD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575AFD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575AFD" w:rsidRPr="00575AFD" w:rsidRDefault="00575AFD" w:rsidP="00575AFD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575AFD">
        <w:rPr>
          <w:color w:val="000000"/>
          <w:sz w:val="22"/>
        </w:rPr>
        <w:t>722</w:t>
      </w:r>
      <w:r>
        <w:rPr>
          <w:color w:val="000000"/>
          <w:sz w:val="22"/>
        </w:rPr>
        <w:t>63000-6 -</w:t>
      </w:r>
      <w:r w:rsidRPr="00575AFD">
        <w:rPr>
          <w:color w:val="000000"/>
          <w:sz w:val="22"/>
        </w:rPr>
        <w:t xml:space="preserve"> „Usługi wdrażania oprogramowania”;</w:t>
      </w:r>
    </w:p>
    <w:p w:rsidR="00575AFD" w:rsidRPr="00575AFD" w:rsidRDefault="00575AFD" w:rsidP="00575AFD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575AFD">
        <w:rPr>
          <w:color w:val="000000"/>
          <w:sz w:val="22"/>
        </w:rPr>
        <w:t xml:space="preserve">72316000-3 </w:t>
      </w:r>
      <w:r>
        <w:rPr>
          <w:color w:val="000000"/>
          <w:sz w:val="22"/>
        </w:rPr>
        <w:t>-</w:t>
      </w:r>
      <w:r w:rsidRPr="00575AFD">
        <w:rPr>
          <w:color w:val="000000"/>
          <w:sz w:val="22"/>
        </w:rPr>
        <w:t>„Usługi analizy danych”</w:t>
      </w:r>
    </w:p>
    <w:p w:rsidR="00575AFD" w:rsidRPr="00575AFD" w:rsidRDefault="00575AFD" w:rsidP="00575AFD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575AFD">
        <w:rPr>
          <w:color w:val="000000"/>
          <w:sz w:val="22"/>
        </w:rPr>
        <w:t xml:space="preserve">72416000-9 </w:t>
      </w:r>
      <w:r>
        <w:rPr>
          <w:color w:val="000000"/>
          <w:sz w:val="22"/>
        </w:rPr>
        <w:t>-</w:t>
      </w:r>
      <w:r w:rsidRPr="00575AFD">
        <w:rPr>
          <w:color w:val="000000"/>
          <w:sz w:val="22"/>
        </w:rPr>
        <w:t>„Dostawcy usług aplikacyjnych”</w:t>
      </w:r>
    </w:p>
    <w:p w:rsidR="00575AFD" w:rsidRPr="00C91D71" w:rsidRDefault="00575AFD" w:rsidP="00575AFD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575AFD">
        <w:rPr>
          <w:color w:val="000000"/>
          <w:sz w:val="22"/>
        </w:rPr>
        <w:t xml:space="preserve">80533100-0 </w:t>
      </w:r>
      <w:r>
        <w:rPr>
          <w:color w:val="000000"/>
          <w:sz w:val="22"/>
        </w:rPr>
        <w:t>-</w:t>
      </w:r>
      <w:r w:rsidRPr="00575AFD">
        <w:rPr>
          <w:color w:val="000000"/>
          <w:sz w:val="22"/>
        </w:rPr>
        <w:t>„Usługi szkolenia komputerowego”</w:t>
      </w:r>
      <w:r w:rsidRPr="00575AFD">
        <w:rPr>
          <w:color w:val="000000"/>
          <w:sz w:val="22"/>
        </w:rPr>
        <w:tab/>
      </w:r>
    </w:p>
    <w:p w:rsidR="009001F1" w:rsidRPr="009221DB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:rsidR="009221DB" w:rsidRDefault="009221DB" w:rsidP="009221DB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>
        <w:rPr>
          <w:sz w:val="22"/>
        </w:rPr>
        <w:t>Powodem niedokonania zamówienia na części jest specyfika zamówienia. Podzielenie podmiotu zamówienia groziłoby niedającymi się wyeliminować problemami organizacyjnymi związanymi z odpowiedzialnością za poszczególne elementy przez różnych wykonawców, co w efekcie końcowym nie dało by oczekiwanego rezultatu w postaci oczekiwanych przez Zamawiającego funkcjonalności.</w:t>
      </w:r>
    </w:p>
    <w:p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Default="009001F1" w:rsidP="00A27BF8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03595" w:rsidRPr="00A27BF8" w:rsidRDefault="00F03595" w:rsidP="00A27BF8">
      <w:pPr>
        <w:spacing w:after="0"/>
        <w:ind w:left="708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A27BF8" w:rsidRDefault="00696DCD" w:rsidP="00A27BF8">
      <w:pPr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F03595" w:rsidRDefault="00F03595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F03595" w:rsidRPr="00C74546" w:rsidRDefault="00F03595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A27BF8">
        <w:rPr>
          <w:sz w:val="22"/>
        </w:rPr>
        <w:t>do 6 lat od  dnia zawarcia umowy.</w:t>
      </w:r>
    </w:p>
    <w:p w:rsidR="009B3921" w:rsidRDefault="009B3921" w:rsidP="009B3921">
      <w:pPr>
        <w:spacing w:after="0"/>
        <w:jc w:val="both"/>
        <w:rPr>
          <w:b/>
          <w:color w:val="000000"/>
          <w:sz w:val="22"/>
        </w:rPr>
      </w:pPr>
    </w:p>
    <w:p w:rsidR="00A27BF8" w:rsidRPr="00C74546" w:rsidRDefault="00A27BF8" w:rsidP="009B3921">
      <w:pPr>
        <w:spacing w:after="0"/>
        <w:jc w:val="both"/>
        <w:rPr>
          <w:b/>
          <w:color w:val="000000"/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A27BF8" w:rsidRDefault="00CC0CAA" w:rsidP="0084307C">
      <w:pPr>
        <w:pStyle w:val="Tekstpodstawowy"/>
        <w:numPr>
          <w:ilvl w:val="0"/>
          <w:numId w:val="48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A27BF8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84307C">
      <w:pPr>
        <w:pStyle w:val="Akapitzlist"/>
        <w:numPr>
          <w:ilvl w:val="0"/>
          <w:numId w:val="48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84307C">
      <w:pPr>
        <w:pStyle w:val="Akapitzlist"/>
        <w:numPr>
          <w:ilvl w:val="0"/>
          <w:numId w:val="48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A27BF8" w:rsidRDefault="00387A51" w:rsidP="0084307C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</w:t>
      </w:r>
      <w:r w:rsidRPr="00FD59BA">
        <w:rPr>
          <w:color w:val="000000"/>
          <w:sz w:val="22"/>
        </w:rPr>
        <w:lastRenderedPageBreak/>
        <w:t xml:space="preserve">brak podstaw wykluczenia </w:t>
      </w:r>
      <w:r w:rsidRPr="00A27BF8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A27BF8" w:rsidRDefault="00387A51" w:rsidP="0084307C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387A51" w:rsidRPr="000B60F9" w:rsidRDefault="00387A51" w:rsidP="0084307C">
      <w:pPr>
        <w:pStyle w:val="Akapitzlist"/>
        <w:numPr>
          <w:ilvl w:val="0"/>
          <w:numId w:val="48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0B60F9" w:rsidRPr="00B11D99" w:rsidRDefault="000B60F9" w:rsidP="0084307C">
      <w:pPr>
        <w:pStyle w:val="Akapitzlist"/>
        <w:numPr>
          <w:ilvl w:val="0"/>
          <w:numId w:val="48"/>
        </w:numPr>
        <w:spacing w:before="26" w:after="0" w:line="360" w:lineRule="auto"/>
        <w:jc w:val="both"/>
        <w:rPr>
          <w:sz w:val="22"/>
        </w:rPr>
      </w:pPr>
      <w:r w:rsidRPr="00B11D99">
        <w:rPr>
          <w:b/>
          <w:sz w:val="22"/>
        </w:rPr>
        <w:t>Wykonawca w części IV</w:t>
      </w:r>
      <w:r w:rsidRPr="00B11D99">
        <w:rPr>
          <w:sz w:val="22"/>
        </w:rPr>
        <w:t xml:space="preserve"> Jednolitego Dokumentu (Kryteria kwalifikacji) </w:t>
      </w:r>
      <w:r w:rsidRPr="00B11D99">
        <w:rPr>
          <w:b/>
          <w:sz w:val="22"/>
        </w:rPr>
        <w:t>może ograniczyć się do wypełnienia części</w:t>
      </w:r>
      <w:r w:rsidRPr="00B11D99">
        <w:rPr>
          <w:b/>
          <w:sz w:val="28"/>
          <w:szCs w:val="28"/>
        </w:rPr>
        <w:t xml:space="preserve"> α </w:t>
      </w:r>
      <w:r w:rsidRPr="00B11D99">
        <w:rPr>
          <w:sz w:val="22"/>
        </w:rPr>
        <w:t xml:space="preserve">(ogólne oświadczenie dotyczące wszystkich kryteriów kwalifikacji), w celu wstępnego potwierdzenia spełniania warunku udziału w postępowaniu, o którym mowa w Rozdziale XX ust. 1 SWZ.  </w:t>
      </w:r>
      <w:r w:rsidRPr="00B11D99">
        <w:rPr>
          <w:i/>
          <w:sz w:val="22"/>
        </w:rPr>
        <w:t xml:space="preserve"> </w:t>
      </w:r>
    </w:p>
    <w:p w:rsidR="00CC0CAA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4B42BE" w:rsidRPr="00C74546" w:rsidRDefault="004B42BE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C02468" w:rsidRDefault="003C66EF" w:rsidP="0084307C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 xml:space="preserve">. </w:t>
      </w:r>
    </w:p>
    <w:p w:rsidR="003C66EF" w:rsidRPr="00C02468" w:rsidRDefault="003C66EF" w:rsidP="0084307C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>.</w:t>
      </w:r>
    </w:p>
    <w:p w:rsidR="00E203BE" w:rsidRPr="00C02468" w:rsidRDefault="00E203BE" w:rsidP="0084307C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:rsidR="00C02468" w:rsidRPr="00C02468" w:rsidRDefault="00C02468" w:rsidP="0084307C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C02468">
        <w:rPr>
          <w:color w:val="000000" w:themeColor="text1"/>
        </w:rPr>
        <w:t xml:space="preserve">art. 5k rozporządzenia Rady (UE) 2022/576 z dnia 8 kwietnia 2022 r. w sprawie zmiany rozporządzenia (UE) Nr 833/2014 dotyczącego </w:t>
      </w:r>
      <w:r w:rsidRPr="00C02468">
        <w:rPr>
          <w:color w:val="000000" w:themeColor="text1"/>
        </w:rPr>
        <w:lastRenderedPageBreak/>
        <w:t>środków ograniczających w związku z działaniami Rosji destabilizującymi sytuację na Ukrainie.</w:t>
      </w:r>
    </w:p>
    <w:p w:rsidR="003C66EF" w:rsidRPr="00C02468" w:rsidRDefault="003C66EF" w:rsidP="0084307C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A27BF8" w:rsidRPr="00A27BF8" w:rsidRDefault="00A27BF8" w:rsidP="0084307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sz w:val="22"/>
        </w:rPr>
      </w:pPr>
      <w:r w:rsidRPr="00A27BF8">
        <w:rPr>
          <w:sz w:val="22"/>
        </w:rPr>
        <w:t>O udzielenie zamówienia mogą się ubiegać Wykonawcy, którzy spełniają warunki udziału w postępowaniu dotyczące zdolności technicznej lub zawodowej:</w:t>
      </w:r>
    </w:p>
    <w:p w:rsidR="00A75EAC" w:rsidRPr="00A75EAC" w:rsidRDefault="00A27BF8" w:rsidP="00A75EAC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sz w:val="22"/>
        </w:rPr>
      </w:pPr>
      <w:r w:rsidRPr="00A27BF8">
        <w:rPr>
          <w:bCs/>
          <w:sz w:val="22"/>
        </w:rPr>
        <w:t>Warunkiem udziału w postępowaniu jest należyte</w:t>
      </w:r>
      <w:r w:rsidR="007A40BC">
        <w:rPr>
          <w:bCs/>
          <w:sz w:val="22"/>
        </w:rPr>
        <w:t xml:space="preserve"> wykonanie w okresie ostatnich 5</w:t>
      </w:r>
      <w:r w:rsidRPr="00A27BF8">
        <w:rPr>
          <w:bCs/>
          <w:sz w:val="22"/>
        </w:rPr>
        <w:t xml:space="preserve"> lat, liczonych wstecz od dnia, w którym upływa termin składania ofert, a jeżeli okres prowadzenia działalności jest króts</w:t>
      </w:r>
      <w:r>
        <w:rPr>
          <w:bCs/>
          <w:sz w:val="22"/>
        </w:rPr>
        <w:t>zy - w tym okresie, co najmniej</w:t>
      </w:r>
      <w:r w:rsidRPr="00A27BF8">
        <w:t xml:space="preserve"> </w:t>
      </w:r>
      <w:r w:rsidR="00DC52D7">
        <w:rPr>
          <w:bCs/>
          <w:sz w:val="22"/>
        </w:rPr>
        <w:t>jednej</w:t>
      </w:r>
      <w:r w:rsidRPr="00A27BF8">
        <w:rPr>
          <w:bCs/>
          <w:sz w:val="22"/>
        </w:rPr>
        <w:t xml:space="preserve"> usług</w:t>
      </w:r>
      <w:r w:rsidR="00DC52D7">
        <w:rPr>
          <w:bCs/>
          <w:sz w:val="22"/>
        </w:rPr>
        <w:t>i</w:t>
      </w:r>
      <w:r w:rsidRPr="00A27BF8">
        <w:rPr>
          <w:bCs/>
          <w:sz w:val="22"/>
        </w:rPr>
        <w:t xml:space="preserve"> polegając</w:t>
      </w:r>
      <w:r w:rsidR="00DC52D7">
        <w:rPr>
          <w:bCs/>
          <w:sz w:val="22"/>
        </w:rPr>
        <w:t>ej</w:t>
      </w:r>
      <w:r w:rsidRPr="00A27BF8">
        <w:rPr>
          <w:bCs/>
          <w:sz w:val="22"/>
        </w:rPr>
        <w:t xml:space="preserve"> na</w:t>
      </w:r>
      <w:r w:rsidR="00A75EAC">
        <w:rPr>
          <w:bCs/>
          <w:sz w:val="22"/>
        </w:rPr>
        <w:t xml:space="preserve">  </w:t>
      </w:r>
      <w:r w:rsidR="00A75EAC" w:rsidRPr="00A75EAC">
        <w:rPr>
          <w:bCs/>
          <w:sz w:val="22"/>
        </w:rPr>
        <w:t xml:space="preserve">dostarczeniu i wdrożeniu systemu informatycznego oraz świadczeniu usług wsparcia </w:t>
      </w:r>
      <w:r w:rsidR="00811043" w:rsidRPr="00811043">
        <w:rPr>
          <w:bCs/>
          <w:sz w:val="22"/>
        </w:rPr>
        <w:t>merytorycznego</w:t>
      </w:r>
      <w:r w:rsidR="00A75EAC" w:rsidRPr="00A75EAC">
        <w:rPr>
          <w:bCs/>
          <w:color w:val="FF0000"/>
          <w:sz w:val="22"/>
        </w:rPr>
        <w:t xml:space="preserve"> </w:t>
      </w:r>
      <w:r w:rsidR="00A75EAC" w:rsidRPr="00A75EAC">
        <w:rPr>
          <w:bCs/>
          <w:sz w:val="22"/>
        </w:rPr>
        <w:t>przez co najmniej 24 miesiące.</w:t>
      </w:r>
    </w:p>
    <w:p w:rsidR="00A75EAC" w:rsidRPr="00A75EAC" w:rsidRDefault="00A75EAC" w:rsidP="00A75E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bCs/>
          <w:sz w:val="22"/>
        </w:rPr>
      </w:pPr>
      <w:r>
        <w:rPr>
          <w:bCs/>
          <w:sz w:val="22"/>
        </w:rPr>
        <w:t>Przez p</w:t>
      </w:r>
      <w:r w:rsidRPr="00A75EAC">
        <w:rPr>
          <w:bCs/>
          <w:sz w:val="22"/>
        </w:rPr>
        <w:t xml:space="preserve">rzedmiotowy system informatyczny </w:t>
      </w:r>
      <w:r w:rsidR="00A21CD7">
        <w:rPr>
          <w:bCs/>
          <w:sz w:val="22"/>
        </w:rPr>
        <w:t xml:space="preserve">należy rozumieć system informatyczny, który </w:t>
      </w:r>
      <w:r w:rsidRPr="00A75EAC">
        <w:rPr>
          <w:bCs/>
          <w:sz w:val="22"/>
        </w:rPr>
        <w:t>służy</w:t>
      </w:r>
      <w:r w:rsidR="00A21CD7">
        <w:rPr>
          <w:bCs/>
          <w:sz w:val="22"/>
        </w:rPr>
        <w:t>ł</w:t>
      </w:r>
      <w:r w:rsidRPr="00A75EAC">
        <w:rPr>
          <w:bCs/>
          <w:sz w:val="22"/>
        </w:rPr>
        <w:t xml:space="preserve"> co najmniej do :</w:t>
      </w:r>
    </w:p>
    <w:p w:rsidR="00A75EAC" w:rsidRPr="00A75EAC" w:rsidRDefault="00A75EAC" w:rsidP="00A75E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bCs/>
          <w:sz w:val="22"/>
        </w:rPr>
      </w:pPr>
      <w:r w:rsidRPr="00A75EAC">
        <w:rPr>
          <w:bCs/>
          <w:sz w:val="22"/>
        </w:rPr>
        <w:t>- obsługi budżetu jednostek sektora finansów publicznych,</w:t>
      </w:r>
    </w:p>
    <w:p w:rsidR="00A75EAC" w:rsidRPr="00A75EAC" w:rsidRDefault="00A75EAC" w:rsidP="00A75E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bCs/>
          <w:sz w:val="22"/>
        </w:rPr>
      </w:pPr>
      <w:r w:rsidRPr="00A75EAC">
        <w:rPr>
          <w:bCs/>
          <w:sz w:val="22"/>
        </w:rPr>
        <w:t>- wykonywania sprawozdań finansowych jednostkowych,</w:t>
      </w:r>
    </w:p>
    <w:p w:rsidR="00A75EAC" w:rsidRPr="00A75EAC" w:rsidRDefault="00A75EAC" w:rsidP="00A75E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bCs/>
          <w:sz w:val="22"/>
        </w:rPr>
      </w:pPr>
      <w:r w:rsidRPr="00A75EAC">
        <w:rPr>
          <w:bCs/>
          <w:sz w:val="22"/>
        </w:rPr>
        <w:t>- wykonywania sprawozdań łącznych i bilansu skonsolidowanego,</w:t>
      </w:r>
    </w:p>
    <w:p w:rsidR="00A27BF8" w:rsidRPr="00A27BF8" w:rsidRDefault="00A21CD7" w:rsidP="00A75E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bCs/>
          <w:sz w:val="22"/>
        </w:rPr>
      </w:pPr>
      <w:r>
        <w:rPr>
          <w:bCs/>
          <w:sz w:val="22"/>
        </w:rPr>
        <w:t>oraz działał</w:t>
      </w:r>
      <w:r w:rsidR="00A75EAC" w:rsidRPr="00A75EAC">
        <w:rPr>
          <w:bCs/>
          <w:sz w:val="22"/>
        </w:rPr>
        <w:t xml:space="preserve"> w formie platformy online w oparciu o przeglądarkę internetową.</w:t>
      </w:r>
      <w:r w:rsidR="00A75EAC">
        <w:rPr>
          <w:bCs/>
          <w:sz w:val="22"/>
        </w:rPr>
        <w:t xml:space="preserve"> </w:t>
      </w:r>
    </w:p>
    <w:p w:rsidR="00A27BF8" w:rsidRPr="00A27BF8" w:rsidRDefault="00A27BF8" w:rsidP="00A27B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sz w:val="22"/>
        </w:rPr>
      </w:pPr>
    </w:p>
    <w:p w:rsidR="00A27BF8" w:rsidRDefault="00A27BF8" w:rsidP="0084307C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sz w:val="22"/>
        </w:rPr>
      </w:pPr>
      <w:r w:rsidRPr="00A27BF8">
        <w:rPr>
          <w:bCs/>
          <w:sz w:val="22"/>
        </w:rPr>
        <w:t xml:space="preserve">Warunkiem udziału w postępowaniu jest </w:t>
      </w:r>
      <w:r w:rsidRPr="00C06D42">
        <w:rPr>
          <w:b/>
          <w:bCs/>
          <w:sz w:val="22"/>
        </w:rPr>
        <w:t xml:space="preserve">dysponowanie co najmniej </w:t>
      </w:r>
      <w:r w:rsidR="004178AB" w:rsidRPr="00C06D42">
        <w:rPr>
          <w:b/>
          <w:bCs/>
          <w:sz w:val="22"/>
        </w:rPr>
        <w:t>4</w:t>
      </w:r>
      <w:r w:rsidRPr="00C06D42">
        <w:rPr>
          <w:b/>
          <w:bCs/>
          <w:sz w:val="22"/>
        </w:rPr>
        <w:t xml:space="preserve"> osobami</w:t>
      </w:r>
      <w:r w:rsidRPr="00A27BF8">
        <w:rPr>
          <w:bCs/>
          <w:sz w:val="22"/>
        </w:rPr>
        <w:t>, spełniającymi poniższe wymagania:</w:t>
      </w:r>
    </w:p>
    <w:p w:rsidR="003D003B" w:rsidRPr="003D003B" w:rsidRDefault="003D003B" w:rsidP="003D003B">
      <w:pPr>
        <w:pStyle w:val="Akapitzlist"/>
        <w:widowControl w:val="0"/>
        <w:numPr>
          <w:ilvl w:val="3"/>
          <w:numId w:val="5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/>
          <w:bCs/>
          <w:color w:val="000000"/>
          <w:sz w:val="22"/>
          <w:u w:val="single"/>
          <w:lang w:eastAsia="en-US"/>
        </w:rPr>
        <w:t>Kierownik projektu/Koordynator</w:t>
      </w:r>
      <w:r w:rsidRPr="003D003B">
        <w:rPr>
          <w:rFonts w:eastAsia="Calibri"/>
          <w:bCs/>
          <w:color w:val="000000"/>
          <w:sz w:val="22"/>
          <w:u w:val="single"/>
          <w:lang w:eastAsia="en-US"/>
        </w:rPr>
        <w:t xml:space="preserve">  </w:t>
      </w:r>
      <w:r w:rsidR="0040038D" w:rsidRPr="0040038D">
        <w:rPr>
          <w:rFonts w:eastAsia="Calibri"/>
          <w:bCs/>
          <w:color w:val="000000"/>
          <w:sz w:val="22"/>
          <w:u w:val="single"/>
          <w:lang w:eastAsia="en-US"/>
        </w:rPr>
        <w:t xml:space="preserve"> </w:t>
      </w:r>
      <w:r w:rsidRPr="003D003B">
        <w:rPr>
          <w:rFonts w:eastAsia="Calibri"/>
          <w:bCs/>
          <w:color w:val="000000"/>
          <w:sz w:val="22"/>
          <w:lang w:eastAsia="en-US"/>
        </w:rPr>
        <w:t>- osoba spełniająca łącznie następujące wymagania:</w:t>
      </w:r>
    </w:p>
    <w:p w:rsidR="003D003B" w:rsidRPr="003D003B" w:rsidRDefault="003D003B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/>
          <w:bCs/>
          <w:color w:val="000000"/>
          <w:sz w:val="22"/>
          <w:lang w:eastAsia="en-US"/>
        </w:rPr>
        <w:t>-</w:t>
      </w:r>
      <w:r>
        <w:rPr>
          <w:rFonts w:eastAsia="Calibri"/>
          <w:bCs/>
          <w:color w:val="000000"/>
          <w:sz w:val="22"/>
          <w:lang w:eastAsia="en-US"/>
        </w:rPr>
        <w:t xml:space="preserve"> </w:t>
      </w:r>
      <w:r w:rsidRPr="003D003B">
        <w:rPr>
          <w:rFonts w:eastAsia="Calibri"/>
          <w:bCs/>
          <w:color w:val="000000"/>
          <w:sz w:val="22"/>
          <w:lang w:eastAsia="en-US"/>
        </w:rPr>
        <w:t xml:space="preserve">posiada znajomość metodyki zarządzania projektami potwierdzoną aktualnym certyfikatem PRINCE 2 </w:t>
      </w:r>
      <w:proofErr w:type="spellStart"/>
      <w:r w:rsidRPr="003D003B">
        <w:rPr>
          <w:rFonts w:eastAsia="Calibri"/>
          <w:bCs/>
          <w:color w:val="000000"/>
          <w:sz w:val="22"/>
          <w:lang w:eastAsia="en-US"/>
        </w:rPr>
        <w:t>Practitioner</w:t>
      </w:r>
      <w:proofErr w:type="spellEnd"/>
      <w:r w:rsidRPr="003D003B">
        <w:rPr>
          <w:rFonts w:eastAsia="Calibri"/>
          <w:bCs/>
          <w:color w:val="000000"/>
          <w:sz w:val="22"/>
          <w:lang w:eastAsia="en-US"/>
        </w:rPr>
        <w:t xml:space="preserve"> lub PMI PMP lub równoważny. Za równoważny Zamawiający rozumie certyfikat lub dokument równoważny dla certyfikatu PRINCE2 </w:t>
      </w:r>
      <w:proofErr w:type="spellStart"/>
      <w:r w:rsidRPr="003D003B">
        <w:rPr>
          <w:rFonts w:eastAsia="Calibri"/>
          <w:bCs/>
          <w:color w:val="000000"/>
          <w:sz w:val="22"/>
          <w:lang w:eastAsia="en-US"/>
        </w:rPr>
        <w:t>Practicioner</w:t>
      </w:r>
      <w:proofErr w:type="spellEnd"/>
      <w:r w:rsidRPr="003D003B">
        <w:rPr>
          <w:rFonts w:eastAsia="Calibri"/>
          <w:bCs/>
          <w:color w:val="000000"/>
          <w:sz w:val="22"/>
          <w:lang w:eastAsia="en-US"/>
        </w:rPr>
        <w:t xml:space="preserve"> lub PMI PMP, potwierdzający co najmniej uzyskanie wiedzy w następującym zakresie: znajomość formalnej metodyki zarządzania projektami uwzględniającej co najmniej: </w:t>
      </w:r>
    </w:p>
    <w:p w:rsidR="003D003B" w:rsidRPr="003D003B" w:rsidRDefault="003D003B" w:rsidP="00A75E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lastRenderedPageBreak/>
        <w:tab/>
        <w:t xml:space="preserve">- planowanie projektu, </w:t>
      </w:r>
    </w:p>
    <w:p w:rsidR="003D003B" w:rsidRPr="003D003B" w:rsidRDefault="003D003B" w:rsidP="003D00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ab/>
        <w:t>- zarządzanie zasobami projektu,</w:t>
      </w:r>
    </w:p>
    <w:p w:rsidR="003D003B" w:rsidRPr="003D003B" w:rsidRDefault="003D003B" w:rsidP="003D00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ab/>
        <w:t xml:space="preserve">- zarządzanie ryzykiem, </w:t>
      </w:r>
    </w:p>
    <w:p w:rsidR="003D003B" w:rsidRPr="003D003B" w:rsidRDefault="003D003B" w:rsidP="003D00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ab/>
        <w:t xml:space="preserve">- zarządzanie jakością, </w:t>
      </w:r>
    </w:p>
    <w:p w:rsidR="003D003B" w:rsidRPr="003D003B" w:rsidRDefault="003D003B" w:rsidP="003D00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ab/>
        <w:t>- zarządzanie zmianami,</w:t>
      </w:r>
    </w:p>
    <w:p w:rsidR="003D003B" w:rsidRDefault="003D003B" w:rsidP="003D00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>
        <w:rPr>
          <w:rFonts w:eastAsia="Calibri"/>
          <w:bCs/>
          <w:color w:val="000000"/>
          <w:sz w:val="22"/>
          <w:lang w:eastAsia="en-US"/>
        </w:rPr>
        <w:t xml:space="preserve">  </w:t>
      </w:r>
      <w:r w:rsidRPr="003D003B">
        <w:rPr>
          <w:rFonts w:eastAsia="Calibri"/>
          <w:bCs/>
          <w:color w:val="000000"/>
          <w:sz w:val="22"/>
          <w:lang w:eastAsia="en-US"/>
        </w:rPr>
        <w:t>Certyfikat ten musi być wystawiony przez podmiot, który prowadzi działalność polegającą na weryfikacji i potwierdzaniu wymaganych umiejętności.</w:t>
      </w:r>
    </w:p>
    <w:p w:rsidR="0040038D" w:rsidRPr="003D003B" w:rsidRDefault="003D003B" w:rsidP="003D00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142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/>
          <w:bCs/>
          <w:color w:val="000000"/>
          <w:sz w:val="22"/>
          <w:lang w:eastAsia="en-US"/>
        </w:rPr>
        <w:t>-</w:t>
      </w:r>
      <w:r>
        <w:rPr>
          <w:rFonts w:eastAsia="Calibri"/>
          <w:bCs/>
          <w:color w:val="000000"/>
          <w:sz w:val="22"/>
          <w:lang w:eastAsia="en-US"/>
        </w:rPr>
        <w:t xml:space="preserve"> </w:t>
      </w:r>
      <w:r w:rsidRPr="003D003B">
        <w:rPr>
          <w:rFonts w:eastAsia="Calibri"/>
          <w:bCs/>
          <w:color w:val="000000"/>
          <w:sz w:val="22"/>
          <w:lang w:eastAsia="en-US"/>
        </w:rPr>
        <w:t xml:space="preserve">w okresie </w:t>
      </w:r>
      <w:r w:rsidR="00341F99">
        <w:rPr>
          <w:rFonts w:eastAsia="Calibri"/>
          <w:bCs/>
          <w:color w:val="000000"/>
          <w:sz w:val="22"/>
          <w:lang w:eastAsia="en-US"/>
        </w:rPr>
        <w:t>ostatnich 5</w:t>
      </w:r>
      <w:r w:rsidR="00341F99" w:rsidRPr="00341F99">
        <w:rPr>
          <w:rFonts w:eastAsia="Calibri"/>
          <w:bCs/>
          <w:color w:val="000000"/>
          <w:sz w:val="22"/>
          <w:lang w:eastAsia="en-US"/>
        </w:rPr>
        <w:t xml:space="preserve"> lat, liczonych wstecz od dnia, w którym upływa termin składania ofert</w:t>
      </w:r>
      <w:r w:rsidRPr="003D003B">
        <w:rPr>
          <w:rFonts w:eastAsia="Calibri"/>
          <w:bCs/>
          <w:color w:val="000000"/>
          <w:sz w:val="22"/>
          <w:lang w:eastAsia="en-US"/>
        </w:rPr>
        <w:t>, pełnił</w:t>
      </w:r>
      <w:r>
        <w:rPr>
          <w:rFonts w:eastAsia="Calibri"/>
          <w:bCs/>
          <w:color w:val="000000"/>
          <w:sz w:val="22"/>
          <w:lang w:eastAsia="en-US"/>
        </w:rPr>
        <w:t>a</w:t>
      </w:r>
      <w:r w:rsidRPr="003D003B">
        <w:rPr>
          <w:rFonts w:eastAsia="Calibri"/>
          <w:bCs/>
          <w:color w:val="000000"/>
          <w:sz w:val="22"/>
          <w:lang w:eastAsia="en-US"/>
        </w:rPr>
        <w:t xml:space="preserve"> rolę kierownika projektu w co najmniej 1 zakończonym projekcie informatycznym obejmującym wdrożenie zintegrowanego systemu informatycznego o wartości co najmniej 1 000 000 zł brutto</w:t>
      </w:r>
      <w:r w:rsidR="0040038D" w:rsidRPr="003D003B">
        <w:rPr>
          <w:rFonts w:eastAsia="Calibri"/>
          <w:bCs/>
          <w:color w:val="000000"/>
          <w:sz w:val="22"/>
          <w:lang w:eastAsia="en-US"/>
        </w:rPr>
        <w:t>;</w:t>
      </w:r>
    </w:p>
    <w:p w:rsidR="003D003B" w:rsidRPr="003D003B" w:rsidRDefault="0040038D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/>
          <w:bCs/>
          <w:color w:val="000000"/>
          <w:sz w:val="22"/>
          <w:u w:val="single"/>
          <w:lang w:eastAsia="en-US"/>
        </w:rPr>
        <w:t xml:space="preserve">b) </w:t>
      </w:r>
      <w:r w:rsidR="003D003B" w:rsidRPr="00A75EAC">
        <w:rPr>
          <w:rFonts w:eastAsia="Calibri"/>
          <w:b/>
          <w:bCs/>
          <w:color w:val="000000"/>
          <w:sz w:val="22"/>
          <w:u w:val="single"/>
          <w:lang w:eastAsia="en-US"/>
        </w:rPr>
        <w:t>Architekt projektu</w:t>
      </w:r>
      <w:r w:rsidR="003D003B" w:rsidRPr="003D003B">
        <w:rPr>
          <w:rFonts w:eastAsia="Calibri"/>
          <w:bCs/>
          <w:color w:val="000000"/>
          <w:sz w:val="22"/>
          <w:lang w:eastAsia="en-US"/>
        </w:rPr>
        <w:t xml:space="preserve"> – osoba spełniająca łącznie następujące wymagania: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/>
          <w:bCs/>
          <w:color w:val="000000"/>
          <w:sz w:val="22"/>
          <w:lang w:eastAsia="en-US"/>
        </w:rPr>
        <w:t>-</w:t>
      </w:r>
      <w:r>
        <w:rPr>
          <w:rFonts w:eastAsia="Calibri"/>
          <w:bCs/>
          <w:color w:val="000000"/>
          <w:sz w:val="22"/>
          <w:lang w:eastAsia="en-US"/>
        </w:rPr>
        <w:t xml:space="preserve">  </w:t>
      </w:r>
      <w:r w:rsidRPr="003D003B">
        <w:rPr>
          <w:rFonts w:eastAsia="Calibri"/>
          <w:bCs/>
          <w:color w:val="000000"/>
          <w:sz w:val="22"/>
          <w:lang w:eastAsia="en-US"/>
        </w:rPr>
        <w:t>posiada certyfikat TOGAF 9 lub Open CA lub równoważny. Za równoważny zamawiający rozumie certyfikat lub dokument równoważny dla certyfikatu TOGAF 9 lub Open CA, potwierdzający co najmniej uzyskanie wiedzy w następującym zakresie: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Uzasadnienie biznesowe do stosowania architektury korporacyjnej,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 xml:space="preserve">- Kontinuum Korporacyjne, 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Ład Architektoniczny,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Pryncypia Architektoniczne i ich tworzenie,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Widoki i architektoniczne punkty widzenia,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Zarządzanie wymaganiami z użyciem scenariuszy biznesowych,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Ocena poziomu dojrzałości architektury,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Ramy umiejętności architektonicznych,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Partycjonowanie i segmentacja architektury,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Ramy zawartości i metamodel,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Planowanie rozwoju oparte na potencjale/zdolnościach,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Ocena gotowości biznesu do transformacji,</w:t>
      </w:r>
    </w:p>
    <w:p w:rsid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 xml:space="preserve">- Usystematyzowane podejście do zarządzania zmianą organizacyjną na bazie modeli 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>
        <w:rPr>
          <w:rFonts w:eastAsia="Calibri"/>
          <w:bCs/>
          <w:color w:val="000000"/>
          <w:sz w:val="22"/>
          <w:lang w:eastAsia="en-US"/>
        </w:rPr>
        <w:t xml:space="preserve">   </w:t>
      </w:r>
      <w:r w:rsidRPr="003D003B">
        <w:rPr>
          <w:rFonts w:eastAsia="Calibri"/>
          <w:bCs/>
          <w:color w:val="000000"/>
          <w:sz w:val="22"/>
          <w:lang w:eastAsia="en-US"/>
        </w:rPr>
        <w:t xml:space="preserve">architektonicznych do tworzenia </w:t>
      </w:r>
      <w:proofErr w:type="spellStart"/>
      <w:r w:rsidRPr="003D003B">
        <w:rPr>
          <w:rFonts w:eastAsia="Calibri"/>
          <w:bCs/>
          <w:color w:val="000000"/>
          <w:sz w:val="22"/>
          <w:lang w:eastAsia="en-US"/>
        </w:rPr>
        <w:t>architektur</w:t>
      </w:r>
      <w:proofErr w:type="spellEnd"/>
      <w:r w:rsidRPr="003D003B">
        <w:rPr>
          <w:rFonts w:eastAsia="Calibri"/>
          <w:bCs/>
          <w:color w:val="000000"/>
          <w:sz w:val="22"/>
          <w:lang w:eastAsia="en-US"/>
        </w:rPr>
        <w:t xml:space="preserve"> bezpieczeństwa,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- Repozytorium architektoniczne;</w:t>
      </w:r>
    </w:p>
    <w:p w:rsidR="003D003B" w:rsidRPr="003D003B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/>
        <w:jc w:val="both"/>
        <w:rPr>
          <w:rFonts w:eastAsia="Calibri"/>
          <w:bCs/>
          <w:color w:val="000000"/>
          <w:sz w:val="22"/>
          <w:lang w:eastAsia="en-US"/>
        </w:rPr>
      </w:pPr>
      <w:r w:rsidRPr="003D003B">
        <w:rPr>
          <w:rFonts w:eastAsia="Calibri"/>
          <w:bCs/>
          <w:color w:val="000000"/>
          <w:sz w:val="22"/>
          <w:lang w:eastAsia="en-US"/>
        </w:rPr>
        <w:t>Certyfikat ten musi być wystawiony przez podmiot, który prowadzi działalność polegającą na weryfikacji i potwierdzaniu wymaganych umiejętności.</w:t>
      </w:r>
    </w:p>
    <w:p w:rsidR="0040038D" w:rsidRPr="0040038D" w:rsidRDefault="003D003B" w:rsidP="003D003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bCs/>
          <w:color w:val="000000"/>
          <w:sz w:val="22"/>
          <w:u w:val="single"/>
          <w:lang w:eastAsia="en-US"/>
        </w:rPr>
      </w:pPr>
      <w:r w:rsidRPr="003D003B">
        <w:rPr>
          <w:rFonts w:eastAsia="Calibri"/>
          <w:b/>
          <w:bCs/>
          <w:color w:val="000000"/>
          <w:sz w:val="22"/>
          <w:lang w:eastAsia="en-US"/>
        </w:rPr>
        <w:t>-</w:t>
      </w:r>
      <w:r>
        <w:rPr>
          <w:rFonts w:eastAsia="Calibri"/>
          <w:bCs/>
          <w:color w:val="000000"/>
          <w:sz w:val="22"/>
          <w:lang w:eastAsia="en-US"/>
        </w:rPr>
        <w:t xml:space="preserve">  </w:t>
      </w:r>
      <w:r w:rsidRPr="003D003B">
        <w:rPr>
          <w:rFonts w:eastAsia="Calibri"/>
          <w:bCs/>
          <w:color w:val="000000"/>
          <w:sz w:val="22"/>
          <w:lang w:eastAsia="en-US"/>
        </w:rPr>
        <w:t xml:space="preserve">w okresie ostatnich </w:t>
      </w:r>
      <w:r w:rsidR="00341F99" w:rsidRPr="00341F99">
        <w:rPr>
          <w:rFonts w:eastAsia="Calibri"/>
          <w:bCs/>
          <w:color w:val="000000"/>
          <w:sz w:val="22"/>
          <w:lang w:eastAsia="en-US"/>
        </w:rPr>
        <w:t>3 lat, liczonych wstecz od dnia, w którym upływa termin składania ofert</w:t>
      </w:r>
      <w:r w:rsidR="00341F99">
        <w:rPr>
          <w:rFonts w:eastAsia="Calibri"/>
          <w:bCs/>
          <w:color w:val="000000"/>
          <w:sz w:val="22"/>
          <w:lang w:eastAsia="en-US"/>
        </w:rPr>
        <w:t>,</w:t>
      </w:r>
      <w:r w:rsidR="00341F99" w:rsidRPr="00341F99">
        <w:rPr>
          <w:rFonts w:eastAsia="Calibri"/>
          <w:bCs/>
          <w:color w:val="000000"/>
          <w:sz w:val="22"/>
          <w:lang w:eastAsia="en-US"/>
        </w:rPr>
        <w:t xml:space="preserve"> </w:t>
      </w:r>
      <w:r w:rsidRPr="003D003B">
        <w:rPr>
          <w:rFonts w:eastAsia="Calibri"/>
          <w:bCs/>
          <w:color w:val="000000"/>
          <w:sz w:val="22"/>
          <w:lang w:eastAsia="en-US"/>
        </w:rPr>
        <w:t>pełnił</w:t>
      </w:r>
      <w:r w:rsidR="00C06D42">
        <w:rPr>
          <w:rFonts w:eastAsia="Calibri"/>
          <w:bCs/>
          <w:color w:val="000000"/>
          <w:sz w:val="22"/>
          <w:lang w:eastAsia="en-US"/>
        </w:rPr>
        <w:t>a</w:t>
      </w:r>
      <w:r w:rsidRPr="003D003B">
        <w:rPr>
          <w:rFonts w:eastAsia="Calibri"/>
          <w:bCs/>
          <w:color w:val="000000"/>
          <w:sz w:val="22"/>
          <w:lang w:eastAsia="en-US"/>
        </w:rPr>
        <w:t xml:space="preserve"> rolę kierownika projektu lub architekta projektu w co najmniej 1 zakończonym projekcie informatycznym obejmującym wdrożenie zintegrowanego systemu informatycznego o wartości co najmniej 1 000 000 zł brutto.</w:t>
      </w:r>
    </w:p>
    <w:p w:rsidR="00957B73" w:rsidRDefault="00957B73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color w:val="000000"/>
          <w:sz w:val="22"/>
          <w:u w:val="single"/>
          <w:lang w:eastAsia="en-US"/>
        </w:rPr>
      </w:pPr>
    </w:p>
    <w:p w:rsidR="00A75EAC" w:rsidRPr="00A75EAC" w:rsidRDefault="0040038D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/>
          <w:bCs/>
          <w:color w:val="000000"/>
          <w:sz w:val="22"/>
          <w:u w:val="single"/>
          <w:lang w:eastAsia="en-US"/>
        </w:rPr>
        <w:t xml:space="preserve">c) </w:t>
      </w:r>
      <w:r w:rsidR="00A75EAC" w:rsidRPr="00A75EAC">
        <w:rPr>
          <w:rFonts w:eastAsia="Calibri"/>
          <w:b/>
          <w:bCs/>
          <w:color w:val="000000"/>
          <w:sz w:val="22"/>
          <w:u w:val="single"/>
          <w:lang w:eastAsia="en-US"/>
        </w:rPr>
        <w:t>Analityk biznesowy</w:t>
      </w:r>
      <w:r w:rsidR="00A75EAC" w:rsidRPr="00A75EAC">
        <w:rPr>
          <w:rFonts w:eastAsia="Calibri"/>
          <w:bCs/>
          <w:color w:val="000000"/>
          <w:sz w:val="22"/>
          <w:lang w:eastAsia="en-US"/>
        </w:rPr>
        <w:t xml:space="preserve"> – osoba spełniająca łącznie co najmniej następujące wymagania: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>umiejętność tworzenia dokumentacji biznesowej i projektowej,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znajomość technologii bazodanowych i nierelacyjnych baz danych,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znajomość technologii XML oraz standardów </w:t>
      </w:r>
      <w:proofErr w:type="spellStart"/>
      <w:r w:rsidRPr="00A75EAC">
        <w:rPr>
          <w:rFonts w:eastAsia="Calibri"/>
          <w:bCs/>
          <w:color w:val="000000"/>
          <w:sz w:val="22"/>
          <w:lang w:eastAsia="en-US"/>
        </w:rPr>
        <w:t>WebServices</w:t>
      </w:r>
      <w:proofErr w:type="spellEnd"/>
      <w:r w:rsidRPr="00A75EAC">
        <w:rPr>
          <w:rFonts w:eastAsia="Calibri"/>
          <w:bCs/>
          <w:color w:val="000000"/>
          <w:sz w:val="22"/>
          <w:lang w:eastAsia="en-US"/>
        </w:rPr>
        <w:t xml:space="preserve"> (SOAP, REST),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851" w:hanging="142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znajomość zagadnień związanych z projektowaniem integracji oraz projektowania API,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umiejętność modelowania danych,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znajomość narzędzi specyfikowania architektury – Enterprise Architect,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</w:t>
      </w:r>
      <w:r>
        <w:rPr>
          <w:rFonts w:eastAsia="Calibri"/>
          <w:bCs/>
          <w:color w:val="000000"/>
          <w:sz w:val="22"/>
          <w:lang w:eastAsia="en-US"/>
        </w:rPr>
        <w:t xml:space="preserve">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znajomość narzędzi JIRA, </w:t>
      </w:r>
      <w:proofErr w:type="spellStart"/>
      <w:r w:rsidRPr="00A75EAC">
        <w:rPr>
          <w:rFonts w:eastAsia="Calibri"/>
          <w:bCs/>
          <w:color w:val="000000"/>
          <w:sz w:val="22"/>
          <w:lang w:eastAsia="en-US"/>
        </w:rPr>
        <w:t>Confluence</w:t>
      </w:r>
      <w:proofErr w:type="spellEnd"/>
      <w:r w:rsidRPr="00A75EAC">
        <w:rPr>
          <w:rFonts w:eastAsia="Calibri"/>
          <w:bCs/>
          <w:color w:val="000000"/>
          <w:sz w:val="22"/>
          <w:lang w:eastAsia="en-US"/>
        </w:rPr>
        <w:t xml:space="preserve">, </w:t>
      </w:r>
    </w:p>
    <w:p w:rsidR="0040038D" w:rsidRDefault="00A75EAC" w:rsidP="00A75E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>
        <w:rPr>
          <w:rFonts w:eastAsia="Calibri"/>
          <w:bCs/>
          <w:color w:val="000000"/>
          <w:sz w:val="22"/>
          <w:lang w:eastAsia="en-US"/>
        </w:rPr>
        <w:t xml:space="preserve">  - posiada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umiejętność tworzenia specyfikacji wymagań i dekompozycja wymagań na przypadki użycia, scenariusze testowe, przygotowywanie studiów wykonalności. </w:t>
      </w:r>
    </w:p>
    <w:p w:rsidR="00A75EAC" w:rsidRDefault="00A75EAC" w:rsidP="00A75E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</w:p>
    <w:p w:rsidR="00A75EAC" w:rsidRPr="00A75EAC" w:rsidRDefault="0040038D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/>
          <w:bCs/>
          <w:color w:val="000000"/>
          <w:sz w:val="22"/>
          <w:u w:val="single"/>
          <w:lang w:eastAsia="en-US"/>
        </w:rPr>
        <w:t xml:space="preserve">d) </w:t>
      </w:r>
      <w:r w:rsidR="00A75EAC" w:rsidRPr="00A75EAC">
        <w:rPr>
          <w:rFonts w:eastAsia="Calibri"/>
          <w:b/>
          <w:bCs/>
          <w:color w:val="000000"/>
          <w:sz w:val="22"/>
          <w:u w:val="single"/>
          <w:lang w:eastAsia="en-US"/>
        </w:rPr>
        <w:t>Specjalista ds. zarządzania usługami IT</w:t>
      </w:r>
      <w:r w:rsidR="00A75EAC" w:rsidRPr="00A75EAC">
        <w:rPr>
          <w:rFonts w:eastAsia="Calibri"/>
          <w:bCs/>
          <w:color w:val="000000"/>
          <w:sz w:val="22"/>
          <w:lang w:eastAsia="en-US"/>
        </w:rPr>
        <w:t xml:space="preserve"> - osoba spełniająca łącznie co najmniej następujące wymagania: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>
        <w:rPr>
          <w:rFonts w:eastAsia="Calibri"/>
          <w:bCs/>
          <w:color w:val="000000"/>
          <w:sz w:val="22"/>
          <w:lang w:eastAsia="en-US"/>
        </w:rPr>
        <w:t xml:space="preserve">- </w:t>
      </w:r>
      <w:r w:rsidRPr="00A75EAC">
        <w:rPr>
          <w:rFonts w:eastAsia="Calibri"/>
          <w:bCs/>
          <w:color w:val="000000"/>
          <w:sz w:val="22"/>
          <w:lang w:eastAsia="en-US"/>
        </w:rPr>
        <w:t xml:space="preserve">posiada certyfikat ITIL® Foundation </w:t>
      </w:r>
      <w:proofErr w:type="spellStart"/>
      <w:r w:rsidRPr="00A75EAC">
        <w:rPr>
          <w:rFonts w:eastAsia="Calibri"/>
          <w:bCs/>
          <w:color w:val="000000"/>
          <w:sz w:val="22"/>
          <w:lang w:eastAsia="en-US"/>
        </w:rPr>
        <w:t>Certificate</w:t>
      </w:r>
      <w:proofErr w:type="spellEnd"/>
      <w:r w:rsidRPr="00A75EAC">
        <w:rPr>
          <w:rFonts w:eastAsia="Calibri"/>
          <w:bCs/>
          <w:color w:val="000000"/>
          <w:sz w:val="22"/>
          <w:lang w:eastAsia="en-US"/>
        </w:rPr>
        <w:t xml:space="preserve"> in IT Service Management lub równoważny. Za równoważny zamawiający rozumie certyfikat lub dokument równoważny dla certyfikatu ITIL® Foundation </w:t>
      </w:r>
      <w:proofErr w:type="spellStart"/>
      <w:r w:rsidRPr="00A75EAC">
        <w:rPr>
          <w:rFonts w:eastAsia="Calibri"/>
          <w:bCs/>
          <w:color w:val="000000"/>
          <w:sz w:val="22"/>
          <w:lang w:eastAsia="en-US"/>
        </w:rPr>
        <w:t>Certificate</w:t>
      </w:r>
      <w:proofErr w:type="spellEnd"/>
      <w:r w:rsidRPr="00A75EAC">
        <w:rPr>
          <w:rFonts w:eastAsia="Calibri"/>
          <w:bCs/>
          <w:color w:val="000000"/>
          <w:sz w:val="22"/>
          <w:lang w:eastAsia="en-US"/>
        </w:rPr>
        <w:t xml:space="preserve"> in IT Service Management, potwierdzający co najmniej takie kompetencje, jakie wiedzę z dziedzin lub biblioteki usług dla działów IT: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276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strategię usług,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276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projektowanie usług,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276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przekazywanie usług,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276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eksploatację usług, </w:t>
      </w:r>
    </w:p>
    <w:p w:rsidR="00A75EAC" w:rsidRPr="00A75EAC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276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 w:rsidRPr="00A75EAC">
        <w:rPr>
          <w:rFonts w:eastAsia="Calibri"/>
          <w:bCs/>
          <w:color w:val="000000"/>
          <w:sz w:val="22"/>
          <w:lang w:eastAsia="en-US"/>
        </w:rPr>
        <w:t xml:space="preserve">- poprawę usług, </w:t>
      </w:r>
    </w:p>
    <w:p w:rsidR="0040038D" w:rsidRDefault="00A75EAC" w:rsidP="00A75EA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eastAsia="Calibri"/>
          <w:bCs/>
          <w:color w:val="000000"/>
          <w:sz w:val="22"/>
          <w:lang w:eastAsia="en-US"/>
        </w:rPr>
      </w:pPr>
      <w:r>
        <w:rPr>
          <w:rFonts w:eastAsia="Calibri"/>
          <w:bCs/>
          <w:color w:val="000000"/>
          <w:sz w:val="22"/>
          <w:lang w:eastAsia="en-US"/>
        </w:rPr>
        <w:t xml:space="preserve">     </w:t>
      </w:r>
      <w:r w:rsidRPr="00A75EAC">
        <w:rPr>
          <w:rFonts w:eastAsia="Calibri"/>
          <w:bCs/>
          <w:color w:val="000000"/>
          <w:sz w:val="22"/>
          <w:lang w:eastAsia="en-US"/>
        </w:rPr>
        <w:t>Certyfikat ten musi być wystawiony przez podmiot, który prowadzi działalność polegającą na weryfikacji i potwierdzaniu wymaganych umiejętności.</w:t>
      </w:r>
      <w:r>
        <w:rPr>
          <w:rFonts w:eastAsia="Calibri"/>
          <w:bCs/>
          <w:color w:val="000000"/>
          <w:sz w:val="22"/>
          <w:lang w:eastAsia="en-US"/>
        </w:rPr>
        <w:t xml:space="preserve"> </w:t>
      </w:r>
    </w:p>
    <w:p w:rsidR="00AA4043" w:rsidRDefault="00341F99" w:rsidP="00AE54A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bCs/>
          <w:sz w:val="22"/>
          <w:lang w:eastAsia="en-US"/>
        </w:rPr>
      </w:pPr>
      <w:r w:rsidRPr="00341F99">
        <w:rPr>
          <w:rFonts w:eastAsia="Calibri"/>
          <w:bCs/>
          <w:sz w:val="22"/>
          <w:lang w:eastAsia="en-US"/>
        </w:rPr>
        <w:t xml:space="preserve">     </w:t>
      </w:r>
    </w:p>
    <w:p w:rsidR="00957B73" w:rsidRPr="00341F99" w:rsidRDefault="00AA4043" w:rsidP="00957B7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</w:t>
      </w:r>
      <w:r w:rsidR="004178AB" w:rsidRPr="00341F99">
        <w:rPr>
          <w:rFonts w:eastAsia="Calibri"/>
          <w:bCs/>
          <w:sz w:val="22"/>
          <w:lang w:eastAsia="en-US"/>
        </w:rPr>
        <w:t xml:space="preserve">Zamawiający nie dopuszcza, aby </w:t>
      </w:r>
      <w:r w:rsidR="0090399E">
        <w:rPr>
          <w:rFonts w:eastAsia="Calibri"/>
          <w:bCs/>
          <w:sz w:val="22"/>
          <w:lang w:eastAsia="en-US"/>
        </w:rPr>
        <w:t xml:space="preserve">ta sama </w:t>
      </w:r>
      <w:r w:rsidR="00A75EAC" w:rsidRPr="00341F99">
        <w:rPr>
          <w:rFonts w:eastAsia="Calibri"/>
          <w:bCs/>
          <w:sz w:val="22"/>
          <w:lang w:eastAsia="en-US"/>
        </w:rPr>
        <w:t>osoba pełniła więcej niż 1</w:t>
      </w:r>
      <w:r w:rsidR="00482373">
        <w:rPr>
          <w:rFonts w:eastAsia="Calibri"/>
          <w:bCs/>
          <w:sz w:val="22"/>
          <w:lang w:eastAsia="en-US"/>
        </w:rPr>
        <w:t xml:space="preserve"> funkcję</w:t>
      </w:r>
      <w:r w:rsidR="004178AB" w:rsidRPr="00341F99">
        <w:rPr>
          <w:rFonts w:eastAsia="Calibri"/>
          <w:bCs/>
          <w:sz w:val="22"/>
          <w:lang w:eastAsia="en-US"/>
        </w:rPr>
        <w:t xml:space="preserve"> jednocześnie.</w:t>
      </w:r>
    </w:p>
    <w:p w:rsidR="00161342" w:rsidRPr="00A27BF8" w:rsidRDefault="00161342" w:rsidP="0084307C">
      <w:pPr>
        <w:pStyle w:val="Akapitzlist"/>
        <w:numPr>
          <w:ilvl w:val="0"/>
          <w:numId w:val="5"/>
        </w:numPr>
        <w:spacing w:before="26" w:after="0" w:line="360" w:lineRule="auto"/>
        <w:ind w:left="993" w:hanging="285"/>
        <w:jc w:val="both"/>
        <w:rPr>
          <w:sz w:val="22"/>
        </w:rPr>
      </w:pPr>
      <w:r w:rsidRPr="00A27BF8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A27BF8">
        <w:rPr>
          <w:color w:val="FF0000"/>
          <w:sz w:val="22"/>
        </w:rPr>
        <w:t xml:space="preserve"> </w:t>
      </w:r>
    </w:p>
    <w:p w:rsidR="00161342" w:rsidRPr="00A27BF8" w:rsidRDefault="00161342" w:rsidP="0084307C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A27BF8">
        <w:rPr>
          <w:color w:val="000000"/>
          <w:sz w:val="22"/>
        </w:rPr>
        <w:t xml:space="preserve">W przypadku, o którym mowa w ust. 2, Wykonawcy wspólnie ubiegający się o udzielenie zamówienia </w:t>
      </w:r>
      <w:r w:rsidRPr="00A27BF8">
        <w:rPr>
          <w:b/>
          <w:color w:val="000000"/>
          <w:sz w:val="22"/>
        </w:rPr>
        <w:t>dołączają odpowiednio do oferty oświadczenie</w:t>
      </w:r>
      <w:r w:rsidRPr="00A27BF8">
        <w:rPr>
          <w:color w:val="000000"/>
          <w:sz w:val="22"/>
        </w:rPr>
        <w:t>, z którego wynika, które dostawy lub usługi wykonają poszczególni Wykonawcy.</w:t>
      </w:r>
      <w:r w:rsidRPr="00A27BF8">
        <w:rPr>
          <w:color w:val="FF0000"/>
          <w:sz w:val="22"/>
        </w:rPr>
        <w:t xml:space="preserve"> </w:t>
      </w:r>
    </w:p>
    <w:p w:rsidR="00161342" w:rsidRPr="00AF681B" w:rsidRDefault="00161342" w:rsidP="0084307C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AF681B">
        <w:rPr>
          <w:color w:val="000000"/>
          <w:sz w:val="22"/>
        </w:rPr>
        <w:lastRenderedPageBreak/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AF681B" w:rsidRPr="00AF681B">
        <w:rPr>
          <w:color w:val="000000"/>
          <w:sz w:val="22"/>
        </w:rPr>
        <w:t>ch go z nimi stosunków prawnych.</w:t>
      </w:r>
    </w:p>
    <w:p w:rsidR="00161342" w:rsidRPr="00A27BF8" w:rsidRDefault="00161342" w:rsidP="0084307C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A27BF8">
        <w:rPr>
          <w:b/>
          <w:color w:val="000000"/>
          <w:sz w:val="22"/>
        </w:rPr>
        <w:t>usługi</w:t>
      </w:r>
      <w:r w:rsidRPr="00A27BF8">
        <w:rPr>
          <w:color w:val="000000"/>
          <w:sz w:val="22"/>
        </w:rPr>
        <w:t>, do realizacji których te zdolności są wymagane.</w:t>
      </w:r>
      <w:r w:rsidRPr="00A27BF8">
        <w:rPr>
          <w:color w:val="FF0000"/>
          <w:sz w:val="22"/>
        </w:rPr>
        <w:t xml:space="preserve"> </w:t>
      </w:r>
    </w:p>
    <w:p w:rsidR="00161342" w:rsidRPr="00A27BF8" w:rsidRDefault="00161342" w:rsidP="0084307C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 xml:space="preserve">Wykonawca, który polega na zdolnościach lub sytuacji podmiotów udostępniających zasoby, </w:t>
      </w:r>
      <w:r w:rsidRPr="00A27BF8">
        <w:rPr>
          <w:b/>
          <w:color w:val="000000"/>
          <w:sz w:val="22"/>
        </w:rPr>
        <w:t>składa, wraz z ofertą, zobowiązanie podmiotu udostępniającego</w:t>
      </w:r>
      <w:r w:rsidRPr="00A27BF8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161342" w:rsidRPr="00A27BF8" w:rsidRDefault="00161342" w:rsidP="0084307C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A27BF8">
        <w:rPr>
          <w:b/>
          <w:color w:val="000000"/>
          <w:sz w:val="22"/>
        </w:rPr>
        <w:t>Zobowiązanie podmiotu udostępniającego zasoby</w:t>
      </w:r>
      <w:r w:rsidRPr="00A27BF8">
        <w:rPr>
          <w:color w:val="000000"/>
          <w:sz w:val="22"/>
        </w:rPr>
        <w:t xml:space="preserve">, o którym mowa w ust. </w:t>
      </w:r>
      <w:r w:rsidR="00AF681B">
        <w:rPr>
          <w:color w:val="000000"/>
          <w:sz w:val="22"/>
        </w:rPr>
        <w:t>6</w:t>
      </w:r>
      <w:r w:rsidRPr="00A27BF8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A27BF8">
        <w:rPr>
          <w:b/>
          <w:color w:val="000000"/>
          <w:sz w:val="22"/>
        </w:rPr>
        <w:t>określa w szczególności</w:t>
      </w:r>
      <w:r w:rsidRPr="00A27BF8">
        <w:rPr>
          <w:color w:val="000000"/>
          <w:sz w:val="22"/>
        </w:rPr>
        <w:t>:</w:t>
      </w:r>
    </w:p>
    <w:p w:rsidR="00161342" w:rsidRPr="00A27BF8" w:rsidRDefault="00161342" w:rsidP="0084307C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>zakres dostępnych wykonawcy zasobów podmiotu udostępniającego zasoby;</w:t>
      </w:r>
    </w:p>
    <w:p w:rsidR="00161342" w:rsidRPr="00A27BF8" w:rsidRDefault="00161342" w:rsidP="0084307C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A27BF8" w:rsidRDefault="00161342" w:rsidP="0084307C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61342" w:rsidRPr="00AF681B" w:rsidRDefault="00161342" w:rsidP="0084307C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AF681B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pkt </w:t>
      </w:r>
      <w:r w:rsidR="00AF681B">
        <w:rPr>
          <w:color w:val="000000"/>
          <w:sz w:val="22"/>
        </w:rPr>
        <w:t>1</w:t>
      </w:r>
      <w:r w:rsidRPr="00AF681B">
        <w:rPr>
          <w:color w:val="000000"/>
          <w:sz w:val="22"/>
        </w:rPr>
        <w:t xml:space="preserve"> i </w:t>
      </w:r>
      <w:r w:rsidR="00AF681B">
        <w:rPr>
          <w:color w:val="000000"/>
          <w:sz w:val="22"/>
        </w:rPr>
        <w:t>2</w:t>
      </w:r>
      <w:r w:rsidRPr="00AF681B">
        <w:rPr>
          <w:color w:val="000000"/>
          <w:sz w:val="22"/>
        </w:rPr>
        <w:t>, oraz, jeżeli to dotyczy, kryteriów selekcji, a także bada, czy nie zachodzą wobec tego podmiotu podstawy wykluczenia, które zostały przewidziane względem Wykonawcy.</w:t>
      </w:r>
    </w:p>
    <w:p w:rsidR="00161342" w:rsidRPr="00A27BF8" w:rsidRDefault="00161342" w:rsidP="0084307C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A27BF8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 w:rsidR="00B11D99">
        <w:rPr>
          <w:color w:val="000000"/>
          <w:sz w:val="22"/>
        </w:rPr>
        <w:t>bów podmiot ten nie ponosi winy.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D1145" w:rsidRDefault="006D1145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D1145" w:rsidRPr="00C74546" w:rsidRDefault="006D1145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84307C">
      <w:pPr>
        <w:pStyle w:val="Akapitzlist"/>
        <w:numPr>
          <w:ilvl w:val="0"/>
          <w:numId w:val="38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:rsidR="00AD1FC8" w:rsidRPr="00FB445A" w:rsidRDefault="00AD1FC8" w:rsidP="0084307C">
      <w:pPr>
        <w:pStyle w:val="Akapitzlist"/>
        <w:numPr>
          <w:ilvl w:val="0"/>
          <w:numId w:val="39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84307C">
      <w:pPr>
        <w:pStyle w:val="Akapitzlist"/>
        <w:numPr>
          <w:ilvl w:val="0"/>
          <w:numId w:val="40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</w:t>
      </w:r>
    </w:p>
    <w:p w:rsidR="00AD1FC8" w:rsidRPr="00FB445A" w:rsidRDefault="00AD1FC8" w:rsidP="0084307C">
      <w:pPr>
        <w:pStyle w:val="Akapitzlist"/>
        <w:numPr>
          <w:ilvl w:val="0"/>
          <w:numId w:val="40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84307C">
      <w:pPr>
        <w:pStyle w:val="Akapitzlist"/>
        <w:numPr>
          <w:ilvl w:val="0"/>
          <w:numId w:val="39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84307C">
      <w:pPr>
        <w:pStyle w:val="Akapitzlist"/>
        <w:numPr>
          <w:ilvl w:val="0"/>
          <w:numId w:val="39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 xml:space="preserve">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84307C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</w:t>
      </w:r>
    </w:p>
    <w:p w:rsidR="00294118" w:rsidRPr="004309B9" w:rsidRDefault="00294118" w:rsidP="0084307C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84307C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CC41EC" w:rsidRDefault="00294118" w:rsidP="0084307C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</w:t>
      </w:r>
    </w:p>
    <w:p w:rsidR="00C02468" w:rsidRPr="00C02468" w:rsidRDefault="00C02468" w:rsidP="0084307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:rsidR="00C02468" w:rsidRPr="00B11D99" w:rsidRDefault="00CC41EC" w:rsidP="0084307C">
      <w:pPr>
        <w:pStyle w:val="Akapitzlist"/>
        <w:numPr>
          <w:ilvl w:val="0"/>
          <w:numId w:val="39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AD7DAC">
        <w:rPr>
          <w:color w:val="000000" w:themeColor="text1"/>
          <w:sz w:val="22"/>
        </w:rPr>
        <w:t xml:space="preserve">w </w:t>
      </w:r>
      <w:r w:rsidR="00C02468" w:rsidRPr="0009130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B11D99" w:rsidRPr="00B11D99" w:rsidRDefault="00B11D99" w:rsidP="0084307C">
      <w:pPr>
        <w:pStyle w:val="Akapitzlist"/>
        <w:numPr>
          <w:ilvl w:val="0"/>
          <w:numId w:val="39"/>
        </w:numPr>
        <w:spacing w:before="26" w:after="0" w:line="360" w:lineRule="auto"/>
        <w:ind w:left="1418"/>
        <w:jc w:val="both"/>
        <w:rPr>
          <w:sz w:val="22"/>
        </w:rPr>
      </w:pPr>
      <w:r w:rsidRPr="00B11D99">
        <w:rPr>
          <w:sz w:val="22"/>
        </w:rPr>
        <w:t xml:space="preserve">Wykaz usług wykonanych w okresie ostatnich </w:t>
      </w:r>
      <w:r w:rsidR="000E3F80">
        <w:rPr>
          <w:sz w:val="22"/>
        </w:rPr>
        <w:t>5</w:t>
      </w:r>
      <w:r w:rsidRPr="00B11D99">
        <w:rPr>
          <w:sz w:val="22"/>
        </w:rPr>
        <w:t xml:space="preserve"> lat liczonych wstecz od dnia, </w:t>
      </w:r>
    </w:p>
    <w:p w:rsidR="00B11D99" w:rsidRPr="00B11D99" w:rsidRDefault="00B11D99" w:rsidP="00B11D99">
      <w:pPr>
        <w:pStyle w:val="Akapitzlist"/>
        <w:spacing w:before="26" w:after="0" w:line="360" w:lineRule="auto"/>
        <w:ind w:left="1418"/>
        <w:jc w:val="both"/>
        <w:rPr>
          <w:sz w:val="22"/>
        </w:rPr>
      </w:pPr>
      <w:r w:rsidRPr="00B11D99">
        <w:rPr>
          <w:sz w:val="22"/>
        </w:rPr>
        <w:t xml:space="preserve">w którym upływa termin składania ofert, a jeżeli okres prowadzenia działalności jest krótszy - w tym okresie, wraz z podaniem przedmiotu, dat wykonania i podmiotów, na </w:t>
      </w:r>
      <w:r w:rsidRPr="00B11D99">
        <w:rPr>
          <w:sz w:val="22"/>
        </w:rPr>
        <w:lastRenderedPageBreak/>
        <w:t xml:space="preserve">rzecz których usługi zostały wykonane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:rsidR="00B11D99" w:rsidRPr="0009130A" w:rsidRDefault="00B11D99" w:rsidP="00B11D99">
      <w:pPr>
        <w:pStyle w:val="Akapitzlist"/>
        <w:spacing w:before="26" w:after="0" w:line="360" w:lineRule="auto"/>
        <w:ind w:left="1453"/>
        <w:jc w:val="both"/>
        <w:rPr>
          <w:color w:val="FF0000"/>
          <w:sz w:val="22"/>
        </w:rPr>
      </w:pPr>
    </w:p>
    <w:p w:rsidR="00AD1FC8" w:rsidRPr="00C103EF" w:rsidRDefault="00AD1FC8" w:rsidP="0084307C">
      <w:pPr>
        <w:pStyle w:val="Akapitzlist"/>
        <w:numPr>
          <w:ilvl w:val="0"/>
          <w:numId w:val="42"/>
        </w:numPr>
        <w:spacing w:before="26" w:after="0" w:line="360" w:lineRule="auto"/>
        <w:ind w:left="993" w:hanging="284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84307C">
      <w:pPr>
        <w:pStyle w:val="Akapitzlist"/>
        <w:numPr>
          <w:ilvl w:val="0"/>
          <w:numId w:val="43"/>
        </w:numPr>
        <w:spacing w:before="26" w:after="0" w:line="360" w:lineRule="auto"/>
        <w:ind w:left="993" w:hanging="284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84307C">
      <w:pPr>
        <w:pStyle w:val="Akapitzlist"/>
        <w:numPr>
          <w:ilvl w:val="0"/>
          <w:numId w:val="44"/>
        </w:numPr>
        <w:spacing w:before="26" w:after="0" w:line="360" w:lineRule="auto"/>
        <w:ind w:left="993" w:hanging="284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84307C">
      <w:pPr>
        <w:pStyle w:val="Akapitzlist"/>
        <w:numPr>
          <w:ilvl w:val="0"/>
          <w:numId w:val="44"/>
        </w:numPr>
        <w:spacing w:before="26" w:after="0" w:line="360" w:lineRule="auto"/>
        <w:ind w:left="993" w:hanging="284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</w:t>
      </w:r>
      <w:proofErr w:type="spellStart"/>
      <w:r>
        <w:rPr>
          <w:color w:val="1B1B1B"/>
          <w:sz w:val="22"/>
        </w:rPr>
        <w:t>Pzp</w:t>
      </w:r>
      <w:proofErr w:type="spellEnd"/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84307C">
      <w:pPr>
        <w:pStyle w:val="Akapitzlist"/>
        <w:numPr>
          <w:ilvl w:val="0"/>
          <w:numId w:val="45"/>
        </w:numPr>
        <w:spacing w:before="26" w:after="0" w:line="360" w:lineRule="auto"/>
        <w:ind w:left="993" w:hanging="284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84307C">
      <w:pPr>
        <w:pStyle w:val="Akapitzlist"/>
        <w:numPr>
          <w:ilvl w:val="0"/>
          <w:numId w:val="45"/>
        </w:numPr>
        <w:spacing w:before="26" w:after="0" w:line="360" w:lineRule="auto"/>
        <w:ind w:left="993" w:hanging="284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</w:t>
      </w:r>
      <w:r w:rsidRPr="003D65CC">
        <w:rPr>
          <w:color w:val="000000"/>
          <w:sz w:val="22"/>
        </w:rPr>
        <w:lastRenderedPageBreak/>
        <w:t xml:space="preserve">ustawy </w:t>
      </w:r>
      <w:proofErr w:type="spellStart"/>
      <w:r w:rsidR="003D65CC">
        <w:rPr>
          <w:color w:val="000000"/>
          <w:sz w:val="22"/>
        </w:rPr>
        <w:t>Pzp</w:t>
      </w:r>
      <w:proofErr w:type="spellEnd"/>
      <w:r w:rsidR="003D65CC">
        <w:rPr>
          <w:color w:val="000000"/>
          <w:sz w:val="22"/>
        </w:rPr>
        <w:t xml:space="preserve">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84307C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84307C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84307C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84307C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84307C">
      <w:pPr>
        <w:pStyle w:val="Akapitzlist"/>
        <w:numPr>
          <w:ilvl w:val="0"/>
          <w:numId w:val="9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84307C">
      <w:pPr>
        <w:pStyle w:val="Akapitzlist"/>
        <w:numPr>
          <w:ilvl w:val="0"/>
          <w:numId w:val="9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ED41E3" w:rsidRDefault="00ED41E3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84307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B11D99">
        <w:rPr>
          <w:color w:val="000000" w:themeColor="text1"/>
          <w:sz w:val="22"/>
        </w:rPr>
        <w:t>Ewa Klimczak</w:t>
      </w:r>
      <w:r w:rsidR="004A5D9B">
        <w:rPr>
          <w:color w:val="000000" w:themeColor="text1"/>
          <w:sz w:val="22"/>
        </w:rPr>
        <w:t>, tel. 89 52 19 845.</w:t>
      </w:r>
    </w:p>
    <w:p w:rsidR="00161342" w:rsidRPr="0064583B" w:rsidRDefault="00161342" w:rsidP="0084307C">
      <w:pPr>
        <w:pStyle w:val="Akapitzlist"/>
        <w:numPr>
          <w:ilvl w:val="0"/>
          <w:numId w:val="1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ED6B44" w:rsidRDefault="00161342" w:rsidP="0084307C">
      <w:pPr>
        <w:pStyle w:val="Tekstpodstawow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4A5D9B">
        <w:rPr>
          <w:b w:val="0"/>
          <w:sz w:val="22"/>
          <w:szCs w:val="22"/>
        </w:rPr>
        <w:t xml:space="preserve">Zamawiający żąda wniesienia wadium w  kwocie : </w:t>
      </w:r>
      <w:r w:rsidR="00ED6B44" w:rsidRPr="00ED6B44">
        <w:rPr>
          <w:sz w:val="22"/>
          <w:szCs w:val="22"/>
        </w:rPr>
        <w:t>140 000</w:t>
      </w:r>
      <w:r w:rsidRPr="00ED6B44">
        <w:rPr>
          <w:sz w:val="22"/>
          <w:szCs w:val="22"/>
        </w:rPr>
        <w:t xml:space="preserve"> zł.</w:t>
      </w:r>
    </w:p>
    <w:p w:rsidR="00161342" w:rsidRPr="004A5D9B" w:rsidRDefault="00161342" w:rsidP="0084307C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4A5D9B">
        <w:rPr>
          <w:color w:val="000000"/>
          <w:sz w:val="22"/>
        </w:rPr>
        <w:t xml:space="preserve">Wadium wnosi się </w:t>
      </w:r>
      <w:r w:rsidRPr="004A5D9B">
        <w:rPr>
          <w:b/>
          <w:color w:val="000000"/>
          <w:sz w:val="22"/>
        </w:rPr>
        <w:t>przed upływem terminu składania ofert</w:t>
      </w:r>
      <w:r w:rsidRPr="004A5D9B">
        <w:rPr>
          <w:color w:val="000000"/>
          <w:sz w:val="22"/>
        </w:rPr>
        <w:t xml:space="preserve"> i utrzymuje nieprzerwanie do dnia upływu terminu związania ofertą, z wyjątkiem przypadków, o których mowa w art. 98 ust. 1 pkt 2 i 3 oraz ust. 2 ustawy </w:t>
      </w:r>
      <w:proofErr w:type="spellStart"/>
      <w:r w:rsidRPr="004A5D9B">
        <w:rPr>
          <w:color w:val="000000"/>
          <w:sz w:val="22"/>
        </w:rPr>
        <w:t>Pzp</w:t>
      </w:r>
      <w:proofErr w:type="spellEnd"/>
      <w:r w:rsidRPr="004A5D9B">
        <w:rPr>
          <w:color w:val="000000"/>
          <w:sz w:val="22"/>
        </w:rPr>
        <w:t>.</w:t>
      </w:r>
    </w:p>
    <w:p w:rsidR="00161342" w:rsidRPr="004A5D9B" w:rsidRDefault="00161342" w:rsidP="0084307C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4A5D9B">
        <w:rPr>
          <w:color w:val="000000"/>
          <w:sz w:val="22"/>
        </w:rPr>
        <w:t>Wadium może być wnoszone według wyboru Wykonawcy w jednej lub kilku następujących formach:</w:t>
      </w:r>
    </w:p>
    <w:p w:rsidR="00161342" w:rsidRPr="004A5D9B" w:rsidRDefault="00161342" w:rsidP="0084307C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4A5D9B">
        <w:rPr>
          <w:color w:val="000000"/>
          <w:sz w:val="22"/>
        </w:rPr>
        <w:t>pieniądzu;</w:t>
      </w:r>
    </w:p>
    <w:p w:rsidR="00161342" w:rsidRPr="004A5D9B" w:rsidRDefault="00161342" w:rsidP="0084307C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4A5D9B">
        <w:rPr>
          <w:color w:val="000000"/>
          <w:sz w:val="22"/>
        </w:rPr>
        <w:t>gwarancjach bankowych;</w:t>
      </w:r>
    </w:p>
    <w:p w:rsidR="00161342" w:rsidRPr="004A5D9B" w:rsidRDefault="00161342" w:rsidP="0084307C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4A5D9B">
        <w:rPr>
          <w:color w:val="000000"/>
          <w:sz w:val="22"/>
        </w:rPr>
        <w:t>gwarancjach ubezpieczeniowych;</w:t>
      </w:r>
    </w:p>
    <w:p w:rsidR="00161342" w:rsidRPr="004A5D9B" w:rsidRDefault="00161342" w:rsidP="0084307C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4A5D9B">
        <w:rPr>
          <w:color w:val="000000"/>
          <w:sz w:val="22"/>
        </w:rPr>
        <w:t xml:space="preserve">poręczeniach udzielanych przez podmioty, o których mowa w </w:t>
      </w:r>
      <w:r w:rsidRPr="004A5D9B">
        <w:rPr>
          <w:color w:val="1B1B1B"/>
          <w:sz w:val="22"/>
        </w:rPr>
        <w:t>art. 6b ust. 5 pkt 2</w:t>
      </w:r>
      <w:r w:rsidRPr="004A5D9B">
        <w:rPr>
          <w:color w:val="000000"/>
          <w:sz w:val="22"/>
        </w:rPr>
        <w:t xml:space="preserve"> ustawy z dnia 9 listopada 2000 r. o utworzeniu Polskiej Agencji Rozwoju Przedsiębiorczości (Dz. U. z 2019 r. poz. 310, 836 i 1572).</w:t>
      </w:r>
    </w:p>
    <w:p w:rsidR="00161342" w:rsidRPr="004A5D9B" w:rsidRDefault="00161342" w:rsidP="0084307C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4A5D9B">
        <w:rPr>
          <w:color w:val="000000"/>
          <w:sz w:val="22"/>
        </w:rPr>
        <w:t>Wadium wnoszone w pieniądzu wpłaca się przelewem na rachunek bankowy</w:t>
      </w:r>
      <w:r w:rsidR="00006548">
        <w:rPr>
          <w:color w:val="000000"/>
          <w:sz w:val="22"/>
        </w:rPr>
        <w:t xml:space="preserve"> nr  : </w:t>
      </w:r>
      <w:r w:rsidR="004274F1">
        <w:rPr>
          <w:color w:val="000000"/>
          <w:sz w:val="22"/>
        </w:rPr>
        <w:t xml:space="preserve">                  </w:t>
      </w:r>
      <w:r w:rsidR="00006548" w:rsidRPr="00006548">
        <w:rPr>
          <w:b/>
          <w:color w:val="000000"/>
          <w:sz w:val="22"/>
        </w:rPr>
        <w:t>PL</w:t>
      </w:r>
      <w:r w:rsidR="00006548" w:rsidRPr="00006548">
        <w:rPr>
          <w:color w:val="000000"/>
          <w:sz w:val="22"/>
        </w:rPr>
        <w:t xml:space="preserve"> </w:t>
      </w:r>
      <w:r w:rsidR="00006548" w:rsidRPr="00006548">
        <w:rPr>
          <w:b/>
          <w:color w:val="000000"/>
          <w:sz w:val="22"/>
        </w:rPr>
        <w:t xml:space="preserve">87 1090 2718 0000 0001 4649 4445 </w:t>
      </w:r>
      <w:r w:rsidR="00006548" w:rsidRPr="00006548">
        <w:rPr>
          <w:color w:val="000000"/>
          <w:sz w:val="22"/>
        </w:rPr>
        <w:t>lub z kodem SWIFT Santander Bank Polska SA WBK PPL PP 87 1090 2718 0000 0001 4649 4445</w:t>
      </w:r>
      <w:r w:rsidR="00006548" w:rsidRPr="00006548">
        <w:rPr>
          <w:b/>
          <w:color w:val="000000"/>
          <w:sz w:val="22"/>
        </w:rPr>
        <w:t xml:space="preserve"> </w:t>
      </w:r>
      <w:r w:rsidR="00006548">
        <w:rPr>
          <w:color w:val="000000"/>
          <w:sz w:val="22"/>
        </w:rPr>
        <w:t xml:space="preserve"> </w:t>
      </w:r>
      <w:r w:rsidR="00006548" w:rsidRPr="00006548">
        <w:rPr>
          <w:b/>
          <w:color w:val="000000"/>
          <w:sz w:val="22"/>
        </w:rPr>
        <w:t>z dopiskiem ZP.272.1.17.2023</w:t>
      </w:r>
    </w:p>
    <w:p w:rsidR="00161342" w:rsidRPr="004A5D9B" w:rsidRDefault="00161342" w:rsidP="0084307C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4A5D9B">
        <w:rPr>
          <w:color w:val="000000"/>
          <w:sz w:val="22"/>
        </w:rPr>
        <w:t>Wadium wniesione w pieniądzu Zamawiający przechowuje na rachunku bankowym.</w:t>
      </w:r>
    </w:p>
    <w:p w:rsidR="00161342" w:rsidRPr="004A5D9B" w:rsidRDefault="00161342" w:rsidP="0084307C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4A5D9B">
        <w:rPr>
          <w:color w:val="000000"/>
          <w:sz w:val="22"/>
        </w:rPr>
        <w:t>Jeżeli wadium jest wnoszone w formie gwarancji lub poręczenia, o których mowa w ust. 3 pkt 2-4, Wykonawca przekazuje Zamawiającemu oryginał gwarancji lub poręczenia, w postaci elektronicznej.</w:t>
      </w:r>
    </w:p>
    <w:p w:rsidR="00161342" w:rsidRPr="004A5D9B" w:rsidRDefault="00161342" w:rsidP="0084307C">
      <w:pPr>
        <w:pStyle w:val="Tekstpodstawowy"/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4A5D9B">
        <w:rPr>
          <w:b w:val="0"/>
          <w:color w:val="000000" w:themeColor="text1"/>
          <w:sz w:val="22"/>
          <w:szCs w:val="22"/>
        </w:rPr>
        <w:t>Skuteczne wniesienie wadium w pieniądzu następuje z chwilą uznania środków pieniężnych na rachunku bankowym Zamawiającego, jeżeli uznanie nastąpiło przed upływem terminu składania ofert.</w:t>
      </w:r>
    </w:p>
    <w:p w:rsidR="00161342" w:rsidRPr="004A5D9B" w:rsidRDefault="00161342" w:rsidP="0084307C">
      <w:pPr>
        <w:pStyle w:val="Tekstpodstawowy"/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4A5D9B">
        <w:rPr>
          <w:b w:val="0"/>
          <w:color w:val="000000" w:themeColor="text1"/>
          <w:sz w:val="22"/>
          <w:szCs w:val="22"/>
        </w:rPr>
        <w:t xml:space="preserve">Zamawiający nie dopuszcza, aby gwarancja lub poręczenie zawierały zapisy dotyczące możliwości ich wygaśnięcia bez zgody Zamawiającego przed upływem terminu ważności. </w:t>
      </w:r>
    </w:p>
    <w:p w:rsidR="007872DF" w:rsidRPr="004A5D9B" w:rsidRDefault="007872DF" w:rsidP="0084307C">
      <w:pPr>
        <w:pStyle w:val="Tekstpodstawowy"/>
        <w:numPr>
          <w:ilvl w:val="0"/>
          <w:numId w:val="11"/>
        </w:numPr>
        <w:spacing w:line="360" w:lineRule="auto"/>
        <w:ind w:left="993" w:hanging="284"/>
        <w:jc w:val="both"/>
        <w:rPr>
          <w:b w:val="0"/>
          <w:sz w:val="22"/>
          <w:szCs w:val="22"/>
        </w:rPr>
      </w:pPr>
      <w:r w:rsidRPr="004A5D9B">
        <w:rPr>
          <w:b w:val="0"/>
          <w:sz w:val="22"/>
          <w:szCs w:val="22"/>
        </w:rPr>
        <w:t xml:space="preserve">Z treści gwarancji lub poręczenia winno wynikać bezwarunkowe i nieodwołalne, na każde pisemne żądanie zgłoszone przez Zamawiającego w terminie związania ofertą – </w:t>
      </w:r>
      <w:r w:rsidRPr="004A5D9B">
        <w:rPr>
          <w:b w:val="0"/>
          <w:sz w:val="22"/>
          <w:szCs w:val="22"/>
        </w:rPr>
        <w:lastRenderedPageBreak/>
        <w:t xml:space="preserve">zobowiązanie gwaranta lub poręczyciela do wypłaty Zamawiającemu pełnej kwoty wadium w okolicznościach określonych w ustawy </w:t>
      </w:r>
      <w:proofErr w:type="spellStart"/>
      <w:r w:rsidRPr="004A5D9B">
        <w:rPr>
          <w:b w:val="0"/>
          <w:sz w:val="22"/>
          <w:szCs w:val="22"/>
        </w:rPr>
        <w:t>Pzp</w:t>
      </w:r>
      <w:proofErr w:type="spellEnd"/>
      <w:r w:rsidRPr="004A5D9B">
        <w:rPr>
          <w:b w:val="0"/>
          <w:sz w:val="22"/>
          <w:szCs w:val="22"/>
        </w:rPr>
        <w:t>.</w:t>
      </w:r>
    </w:p>
    <w:p w:rsidR="00161342" w:rsidRPr="004A5D9B" w:rsidRDefault="00161342" w:rsidP="0084307C">
      <w:pPr>
        <w:pStyle w:val="Tekstpodstawowy"/>
        <w:numPr>
          <w:ilvl w:val="0"/>
          <w:numId w:val="11"/>
        </w:numPr>
        <w:spacing w:line="360" w:lineRule="auto"/>
        <w:ind w:left="1134" w:hanging="425"/>
        <w:jc w:val="both"/>
        <w:rPr>
          <w:b w:val="0"/>
          <w:color w:val="000000" w:themeColor="text1"/>
          <w:sz w:val="22"/>
          <w:szCs w:val="22"/>
        </w:rPr>
      </w:pPr>
      <w:r w:rsidRPr="004A5D9B">
        <w:rPr>
          <w:b w:val="0"/>
          <w:color w:val="000000" w:themeColor="text1"/>
          <w:sz w:val="22"/>
          <w:szCs w:val="22"/>
        </w:rPr>
        <w:t xml:space="preserve">Zamawiający zwraca i zatrzymuje wadium na zasadach określonych w ustawie </w:t>
      </w:r>
      <w:proofErr w:type="spellStart"/>
      <w:r w:rsidRPr="004A5D9B">
        <w:rPr>
          <w:b w:val="0"/>
          <w:color w:val="000000" w:themeColor="text1"/>
          <w:sz w:val="22"/>
          <w:szCs w:val="22"/>
        </w:rPr>
        <w:t>Pzp</w:t>
      </w:r>
      <w:proofErr w:type="spellEnd"/>
      <w:r w:rsidRPr="004A5D9B">
        <w:rPr>
          <w:b w:val="0"/>
          <w:color w:val="000000" w:themeColor="text1"/>
          <w:sz w:val="22"/>
          <w:szCs w:val="22"/>
        </w:rPr>
        <w:t>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EC35FA">
        <w:rPr>
          <w:color w:val="000000"/>
          <w:sz w:val="22"/>
        </w:rPr>
        <w:t xml:space="preserve">               </w:t>
      </w:r>
      <w:r w:rsidR="0057109B" w:rsidRPr="0057109B">
        <w:rPr>
          <w:b/>
          <w:color w:val="000000"/>
          <w:sz w:val="22"/>
        </w:rPr>
        <w:t>14.08.</w:t>
      </w:r>
      <w:r w:rsidRPr="0057109B">
        <w:rPr>
          <w:b/>
          <w:color w:val="000000"/>
          <w:sz w:val="22"/>
        </w:rPr>
        <w:t>202</w:t>
      </w:r>
      <w:r w:rsidR="00EC35FA" w:rsidRPr="0057109B">
        <w:rPr>
          <w:b/>
          <w:color w:val="000000"/>
          <w:sz w:val="22"/>
        </w:rPr>
        <w:t>3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84307C">
      <w:pPr>
        <w:pStyle w:val="ust"/>
        <w:numPr>
          <w:ilvl w:val="0"/>
          <w:numId w:val="13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84307C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84307C">
      <w:pPr>
        <w:pStyle w:val="us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84307C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84307C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Default="00161342" w:rsidP="0084307C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963094" w:rsidRPr="00E95E3D" w:rsidRDefault="00963094" w:rsidP="0084307C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DE76B8" w:rsidRPr="00EC35FA" w:rsidRDefault="00DE76B8" w:rsidP="0084307C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EC35FA">
        <w:rPr>
          <w:b/>
          <w:sz w:val="22"/>
          <w:szCs w:val="22"/>
        </w:rPr>
        <w:t xml:space="preserve">Oświadczenie, </w:t>
      </w:r>
      <w:r w:rsidRPr="00EC35FA">
        <w:rPr>
          <w:sz w:val="22"/>
          <w:szCs w:val="22"/>
        </w:rPr>
        <w:t xml:space="preserve">o którym mowa w rozdziale XX ust. </w:t>
      </w:r>
      <w:r w:rsidR="00EC35FA">
        <w:rPr>
          <w:sz w:val="22"/>
          <w:szCs w:val="22"/>
        </w:rPr>
        <w:t>3</w:t>
      </w:r>
      <w:r w:rsidR="00D348A8" w:rsidRPr="00EC35FA">
        <w:rPr>
          <w:sz w:val="22"/>
          <w:szCs w:val="22"/>
        </w:rPr>
        <w:t xml:space="preserve"> -</w:t>
      </w:r>
      <w:r w:rsidRPr="00EC35FA">
        <w:rPr>
          <w:sz w:val="22"/>
          <w:szCs w:val="22"/>
        </w:rPr>
        <w:t xml:space="preserve"> dotyczy Wykonawców wspólnie ubiegających się o udzielenie zamówienia.</w:t>
      </w:r>
    </w:p>
    <w:p w:rsidR="00DE76B8" w:rsidRPr="00EC35FA" w:rsidRDefault="00DE76B8" w:rsidP="0084307C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EC35FA">
        <w:rPr>
          <w:b/>
          <w:sz w:val="22"/>
          <w:szCs w:val="22"/>
        </w:rPr>
        <w:t xml:space="preserve">Zobowiązanie podmioty udostępniającego zasoby, </w:t>
      </w:r>
      <w:r w:rsidRPr="00EC35FA">
        <w:rPr>
          <w:sz w:val="22"/>
          <w:szCs w:val="22"/>
        </w:rPr>
        <w:t xml:space="preserve">o którym mowa w rozdziale XX ust. </w:t>
      </w:r>
      <w:r w:rsidR="00EC35FA">
        <w:rPr>
          <w:sz w:val="22"/>
          <w:szCs w:val="22"/>
        </w:rPr>
        <w:t>6</w:t>
      </w:r>
      <w:r w:rsidR="00D348A8" w:rsidRPr="00EC35FA">
        <w:rPr>
          <w:sz w:val="22"/>
          <w:szCs w:val="22"/>
        </w:rPr>
        <w:t xml:space="preserve"> - </w:t>
      </w:r>
      <w:r w:rsidRPr="00EC35FA">
        <w:rPr>
          <w:sz w:val="22"/>
          <w:szCs w:val="22"/>
        </w:rPr>
        <w:t>jeżeli dotyczy.</w:t>
      </w:r>
    </w:p>
    <w:p w:rsidR="00161342" w:rsidRPr="004E2B8D" w:rsidRDefault="00161342" w:rsidP="0084307C">
      <w:pPr>
        <w:pStyle w:val="Tekstpodstawowy"/>
        <w:numPr>
          <w:ilvl w:val="0"/>
          <w:numId w:val="13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84307C">
      <w:pPr>
        <w:pStyle w:val="Tekstpodstawowy"/>
        <w:numPr>
          <w:ilvl w:val="0"/>
          <w:numId w:val="13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 xml:space="preserve">, sporządza się w postaci elektronicznej, w formatach danych określonych w przepisach wydanych na podstawie art. 18 ustawy z dnia 17 lutego 2005 r. o informatyzacji działalności </w:t>
      </w:r>
      <w:r w:rsidRPr="0058393B">
        <w:rPr>
          <w:sz w:val="22"/>
        </w:rPr>
        <w:lastRenderedPageBreak/>
        <w:t>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:rsidR="00161342" w:rsidRPr="00754D64" w:rsidRDefault="00161342" w:rsidP="0084307C">
      <w:pPr>
        <w:pStyle w:val="Akapitzlist"/>
        <w:numPr>
          <w:ilvl w:val="0"/>
          <w:numId w:val="13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8430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84307C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84307C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84307C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84307C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84307C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lub zobowiązania </w:t>
      </w:r>
      <w:r w:rsidRPr="003C5710">
        <w:rPr>
          <w:sz w:val="22"/>
        </w:rPr>
        <w:lastRenderedPageBreak/>
        <w:t>podmiotu udostępniającego zasoby - odpowiednio Wykonawca lub Wykonawca wspólnie ubiegający się o udzielenie zamówienia;</w:t>
      </w:r>
    </w:p>
    <w:p w:rsidR="00161342" w:rsidRPr="003C5710" w:rsidRDefault="00161342" w:rsidP="0084307C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84307C">
      <w:pPr>
        <w:pStyle w:val="Akapitzlist"/>
        <w:numPr>
          <w:ilvl w:val="0"/>
          <w:numId w:val="13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84307C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84307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84307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84307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84307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8430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</w:t>
      </w:r>
      <w:proofErr w:type="spellStart"/>
      <w:r w:rsidR="00C9772F">
        <w:rPr>
          <w:rFonts w:eastAsia="Calibri"/>
          <w:sz w:val="22"/>
          <w:lang w:eastAsia="en-US"/>
        </w:rPr>
        <w:t>wav</w:t>
      </w:r>
      <w:proofErr w:type="spellEnd"/>
      <w:r w:rsidR="00C9772F">
        <w:rPr>
          <w:rFonts w:eastAsia="Calibri"/>
          <w:sz w:val="22"/>
          <w:lang w:eastAsia="en-US"/>
        </w:rPr>
        <w:t>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84307C">
      <w:pPr>
        <w:pStyle w:val="pkt1"/>
        <w:numPr>
          <w:ilvl w:val="0"/>
          <w:numId w:val="13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84307C">
      <w:pPr>
        <w:pStyle w:val="pkt1"/>
        <w:numPr>
          <w:ilvl w:val="0"/>
          <w:numId w:val="18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84307C">
      <w:pPr>
        <w:pStyle w:val="pkt1"/>
        <w:numPr>
          <w:ilvl w:val="0"/>
          <w:numId w:val="19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557EF">
        <w:rPr>
          <w:b/>
          <w:color w:val="0000FF"/>
          <w:sz w:val="22"/>
          <w:szCs w:val="22"/>
        </w:rPr>
        <w:t xml:space="preserve">dnia </w:t>
      </w:r>
      <w:r w:rsidR="00A47430">
        <w:rPr>
          <w:b/>
          <w:color w:val="0000FF"/>
          <w:sz w:val="22"/>
          <w:szCs w:val="22"/>
        </w:rPr>
        <w:t>18.05.</w:t>
      </w:r>
      <w:r w:rsidR="009557EF">
        <w:rPr>
          <w:b/>
          <w:color w:val="0000FF"/>
          <w:sz w:val="22"/>
          <w:szCs w:val="22"/>
        </w:rPr>
        <w:t>202</w:t>
      </w:r>
      <w:r w:rsidR="00EC35FA">
        <w:rPr>
          <w:b/>
          <w:color w:val="0000FF"/>
          <w:sz w:val="22"/>
          <w:szCs w:val="22"/>
        </w:rPr>
        <w:t>3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8430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84307C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84307C">
      <w:pPr>
        <w:pStyle w:val="pkt1"/>
        <w:numPr>
          <w:ilvl w:val="0"/>
          <w:numId w:val="18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84307C">
      <w:pPr>
        <w:pStyle w:val="pkt1"/>
        <w:numPr>
          <w:ilvl w:val="0"/>
          <w:numId w:val="20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84307C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84307C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84307C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84307C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84307C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84307C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84307C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84307C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84307C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8430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84307C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4603B1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D1145" w:rsidRDefault="006D1145" w:rsidP="003F2F74">
      <w:pPr>
        <w:pStyle w:val="Akapitzlist"/>
        <w:spacing w:before="26" w:after="0"/>
        <w:jc w:val="both"/>
        <w:rPr>
          <w:b/>
          <w:sz w:val="22"/>
        </w:rPr>
      </w:pPr>
    </w:p>
    <w:p w:rsidR="006D1145" w:rsidRPr="00C74546" w:rsidRDefault="006D1145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84307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bookmarkStart w:id="0" w:name="_GoBack"/>
      <w:r w:rsidR="00CD2FA4" w:rsidRPr="00CD2FA4">
        <w:rPr>
          <w:b/>
          <w:color w:val="0000FF"/>
          <w:sz w:val="22"/>
        </w:rPr>
        <w:t>18.05.</w:t>
      </w:r>
      <w:bookmarkEnd w:id="0"/>
      <w:r w:rsidR="009557EF">
        <w:rPr>
          <w:b/>
          <w:color w:val="0000FF"/>
          <w:sz w:val="22"/>
        </w:rPr>
        <w:t>202</w:t>
      </w:r>
      <w:r w:rsidR="00703D11">
        <w:rPr>
          <w:b/>
          <w:color w:val="0000FF"/>
          <w:sz w:val="22"/>
        </w:rPr>
        <w:t>3 r. o godz. 10:10.</w:t>
      </w:r>
    </w:p>
    <w:p w:rsidR="009F69EA" w:rsidRDefault="009F69EA" w:rsidP="0084307C">
      <w:pPr>
        <w:pStyle w:val="Akapitzlist"/>
        <w:numPr>
          <w:ilvl w:val="0"/>
          <w:numId w:val="2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BB4264" w:rsidRPr="008352DB" w:rsidRDefault="00BB4264" w:rsidP="00BB4264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84307C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84307C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84307C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84307C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84307C">
      <w:pPr>
        <w:pStyle w:val="Akapitzlist"/>
        <w:numPr>
          <w:ilvl w:val="0"/>
          <w:numId w:val="22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84307C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84307C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84307C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84307C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703D11" w:rsidRPr="00A703F5" w:rsidRDefault="00703D11" w:rsidP="00703D11">
      <w:pPr>
        <w:ind w:left="708" w:firstLine="1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703D11" w:rsidRPr="00A703F5" w:rsidRDefault="00703D11" w:rsidP="00703D11">
      <w:pPr>
        <w:ind w:left="708" w:firstLine="1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703D11" w:rsidRDefault="00703D11" w:rsidP="00703D11">
      <w:pPr>
        <w:ind w:left="850" w:firstLine="1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Pr="008434F3">
        <w:rPr>
          <w:b/>
          <w:color w:val="000000"/>
          <w:sz w:val="22"/>
        </w:rPr>
        <w:t>Termin wykonania</w:t>
      </w:r>
      <w:r>
        <w:rPr>
          <w:color w:val="000000"/>
          <w:sz w:val="22"/>
        </w:rPr>
        <w:t xml:space="preserve"> </w:t>
      </w:r>
      <w:r w:rsidR="0076111F" w:rsidRPr="0076111F">
        <w:rPr>
          <w:b/>
          <w:color w:val="000000"/>
          <w:sz w:val="22"/>
        </w:rPr>
        <w:t xml:space="preserve">Etapu I </w:t>
      </w:r>
      <w:r w:rsidR="004274F1">
        <w:rPr>
          <w:b/>
          <w:color w:val="000000"/>
          <w:sz w:val="22"/>
        </w:rPr>
        <w:t xml:space="preserve">przedmiotu </w:t>
      </w:r>
      <w:r w:rsidR="0076111F" w:rsidRPr="0076111F">
        <w:rPr>
          <w:b/>
          <w:color w:val="000000"/>
          <w:sz w:val="22"/>
        </w:rPr>
        <w:t>zamówienia</w:t>
      </w:r>
      <w:r>
        <w:rPr>
          <w:color w:val="000000"/>
          <w:sz w:val="22"/>
        </w:rPr>
        <w:t xml:space="preserve"> - znaczenie kryterium  - 40%</w:t>
      </w:r>
    </w:p>
    <w:p w:rsidR="004274F1" w:rsidRDefault="004274F1" w:rsidP="00703D11">
      <w:pPr>
        <w:ind w:left="850" w:firstLine="1"/>
        <w:rPr>
          <w:color w:val="000000"/>
          <w:sz w:val="22"/>
        </w:rPr>
      </w:pPr>
    </w:p>
    <w:p w:rsidR="00703D11" w:rsidRPr="00B03B2B" w:rsidRDefault="00703D11" w:rsidP="00703D11">
      <w:pPr>
        <w:shd w:val="clear" w:color="auto" w:fill="FFFFFF"/>
        <w:spacing w:after="0"/>
        <w:ind w:left="709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t xml:space="preserve">2. </w:t>
      </w:r>
      <w:r w:rsidRPr="00B03B2B">
        <w:rPr>
          <w:rFonts w:eastAsia="Calibri"/>
          <w:bCs/>
          <w:sz w:val="22"/>
        </w:rPr>
        <w:t>Sposób oceny oferty:</w:t>
      </w:r>
    </w:p>
    <w:p w:rsidR="00703D11" w:rsidRPr="00A703F5" w:rsidRDefault="00703D11" w:rsidP="00703D11">
      <w:pPr>
        <w:shd w:val="clear" w:color="auto" w:fill="FFFFFF"/>
        <w:spacing w:after="0"/>
        <w:ind w:left="709" w:firstLine="142"/>
        <w:jc w:val="both"/>
        <w:rPr>
          <w:rFonts w:eastAsia="Calibri"/>
          <w:sz w:val="22"/>
        </w:rPr>
      </w:pPr>
    </w:p>
    <w:p w:rsidR="00703D11" w:rsidRPr="00B03B2B" w:rsidRDefault="00703D11" w:rsidP="00AF751B">
      <w:pPr>
        <w:pStyle w:val="Akapitzlist"/>
        <w:numPr>
          <w:ilvl w:val="1"/>
          <w:numId w:val="12"/>
        </w:numPr>
        <w:spacing w:after="0"/>
        <w:ind w:left="1134" w:hanging="425"/>
        <w:rPr>
          <w:sz w:val="22"/>
          <w:lang w:eastAsia="en-US"/>
        </w:rPr>
      </w:pPr>
      <w:r w:rsidRPr="00B03B2B">
        <w:rPr>
          <w:b/>
          <w:sz w:val="22"/>
          <w:lang w:eastAsia="en-US"/>
        </w:rPr>
        <w:t>Cena:</w:t>
      </w:r>
    </w:p>
    <w:p w:rsidR="00703D11" w:rsidRPr="00A703F5" w:rsidRDefault="00703D11" w:rsidP="00703D11">
      <w:pPr>
        <w:spacing w:after="0"/>
        <w:ind w:left="1248"/>
        <w:rPr>
          <w:sz w:val="22"/>
          <w:lang w:eastAsia="en-US"/>
        </w:rPr>
      </w:pPr>
    </w:p>
    <w:p w:rsidR="00703D11" w:rsidRPr="00A703F5" w:rsidRDefault="00703D11" w:rsidP="00703D11">
      <w:pPr>
        <w:shd w:val="clear" w:color="auto" w:fill="FFFFFF"/>
        <w:ind w:left="1068" w:hanging="217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703D11" w:rsidRPr="007C7DF2" w:rsidRDefault="00703D11" w:rsidP="00703D11">
      <w:pPr>
        <w:ind w:left="708" w:hanging="217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703D11" w:rsidRPr="007C7DF2" w:rsidRDefault="00703D11" w:rsidP="00703D11">
      <w:pPr>
        <w:ind w:left="708" w:hanging="217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703D11" w:rsidRPr="007C7DF2" w:rsidRDefault="00703D11" w:rsidP="00703D11">
      <w:pPr>
        <w:ind w:left="1786" w:hanging="217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703D11" w:rsidRDefault="00703D11" w:rsidP="00703D11">
      <w:pPr>
        <w:spacing w:after="0"/>
        <w:ind w:left="851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703D11" w:rsidRDefault="00703D11" w:rsidP="00703D11">
      <w:pPr>
        <w:spacing w:after="0"/>
        <w:ind w:left="284"/>
        <w:rPr>
          <w:sz w:val="22"/>
          <w:lang w:eastAsia="ar-SA"/>
        </w:rPr>
      </w:pPr>
    </w:p>
    <w:p w:rsidR="004274F1" w:rsidRDefault="004274F1" w:rsidP="00703D11">
      <w:pPr>
        <w:spacing w:after="0"/>
        <w:ind w:left="284"/>
        <w:rPr>
          <w:sz w:val="22"/>
          <w:lang w:eastAsia="ar-SA"/>
        </w:rPr>
      </w:pPr>
    </w:p>
    <w:p w:rsidR="004274F1" w:rsidRDefault="004274F1" w:rsidP="00703D11">
      <w:pPr>
        <w:spacing w:after="0"/>
        <w:ind w:left="284"/>
        <w:rPr>
          <w:sz w:val="22"/>
          <w:lang w:eastAsia="ar-SA"/>
        </w:rPr>
      </w:pPr>
    </w:p>
    <w:p w:rsidR="00703D11" w:rsidRPr="00AF751B" w:rsidRDefault="00AF751B" w:rsidP="00AF751B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 xml:space="preserve">     </w:t>
      </w:r>
      <w:r w:rsidR="00703D11" w:rsidRPr="00AF751B">
        <w:rPr>
          <w:b/>
          <w:sz w:val="22"/>
          <w:lang w:val="cs-CZ" w:eastAsia="en-US"/>
        </w:rPr>
        <w:t>Termin wykonania</w:t>
      </w:r>
      <w:r w:rsidR="004274F1" w:rsidRPr="00AF751B">
        <w:rPr>
          <w:b/>
          <w:sz w:val="22"/>
          <w:lang w:val="cs-CZ" w:eastAsia="en-US"/>
        </w:rPr>
        <w:t xml:space="preserve">  </w:t>
      </w:r>
      <w:r w:rsidR="004274F1" w:rsidRPr="00AF751B">
        <w:rPr>
          <w:b/>
          <w:sz w:val="22"/>
          <w:lang w:eastAsia="en-US"/>
        </w:rPr>
        <w:t>Etapu I przedmiotu zamówienia</w:t>
      </w:r>
      <w:r w:rsidR="00703D11" w:rsidRPr="00AF751B">
        <w:rPr>
          <w:b/>
          <w:sz w:val="22"/>
          <w:lang w:val="cs-CZ" w:eastAsia="en-US"/>
        </w:rPr>
        <w:t>:</w:t>
      </w:r>
    </w:p>
    <w:p w:rsidR="00703D11" w:rsidRPr="00A703F5" w:rsidRDefault="00703D11" w:rsidP="00703D11">
      <w:pPr>
        <w:spacing w:after="0"/>
        <w:ind w:firstLine="851"/>
        <w:jc w:val="both"/>
        <w:rPr>
          <w:b/>
          <w:sz w:val="22"/>
          <w:lang w:val="cs-CZ" w:eastAsia="en-US"/>
        </w:rPr>
      </w:pPr>
    </w:p>
    <w:p w:rsidR="00AF751B" w:rsidRPr="00AF751B" w:rsidRDefault="00703D11" w:rsidP="00AF751B">
      <w:pPr>
        <w:pStyle w:val="Akapitzlist"/>
        <w:numPr>
          <w:ilvl w:val="1"/>
          <w:numId w:val="18"/>
        </w:numPr>
        <w:tabs>
          <w:tab w:val="left" w:pos="1276"/>
        </w:tabs>
        <w:spacing w:after="0"/>
        <w:ind w:left="1276" w:hanging="567"/>
        <w:jc w:val="both"/>
        <w:rPr>
          <w:rFonts w:eastAsia="Cambria"/>
          <w:sz w:val="22"/>
          <w:lang w:eastAsia="en-US"/>
        </w:rPr>
      </w:pPr>
      <w:r w:rsidRPr="00AF751B">
        <w:rPr>
          <w:rFonts w:eastAsia="Cambria"/>
          <w:sz w:val="22"/>
          <w:lang w:eastAsia="en-US"/>
        </w:rPr>
        <w:t>W kryterium</w:t>
      </w:r>
      <w:r w:rsidRPr="00AF751B">
        <w:rPr>
          <w:rFonts w:eastAsia="Cambria"/>
          <w:b/>
          <w:sz w:val="22"/>
          <w:lang w:eastAsia="en-US"/>
        </w:rPr>
        <w:t xml:space="preserve"> Termin wykonania </w:t>
      </w:r>
      <w:r w:rsidR="004274F1" w:rsidRPr="00AF751B">
        <w:rPr>
          <w:rFonts w:eastAsia="Cambria"/>
          <w:b/>
          <w:sz w:val="22"/>
          <w:lang w:eastAsia="en-US"/>
        </w:rPr>
        <w:t>Etapu I przedmiotu zamówienia</w:t>
      </w:r>
      <w:r w:rsidRPr="00AF751B">
        <w:rPr>
          <w:rFonts w:eastAsia="Cambria"/>
          <w:b/>
          <w:sz w:val="22"/>
          <w:lang w:eastAsia="en-US"/>
        </w:rPr>
        <w:t xml:space="preserve"> </w:t>
      </w:r>
      <w:r w:rsidRPr="00AF751B">
        <w:rPr>
          <w:sz w:val="22"/>
          <w:lang w:eastAsia="en-US"/>
        </w:rPr>
        <w:t xml:space="preserve">ocenie będzie podlegać liczba dni </w:t>
      </w:r>
      <w:r w:rsidR="004274F1" w:rsidRPr="00AF751B">
        <w:rPr>
          <w:sz w:val="22"/>
          <w:lang w:eastAsia="en-US"/>
        </w:rPr>
        <w:t>roboc</w:t>
      </w:r>
      <w:r w:rsidR="0009191A" w:rsidRPr="00AF751B">
        <w:rPr>
          <w:sz w:val="22"/>
          <w:lang w:eastAsia="en-US"/>
        </w:rPr>
        <w:t>zych, o jaką Wykonawca skróci  8</w:t>
      </w:r>
      <w:r w:rsidRPr="00AF751B">
        <w:rPr>
          <w:sz w:val="22"/>
          <w:lang w:eastAsia="en-US"/>
        </w:rPr>
        <w:t xml:space="preserve">0-dniowy </w:t>
      </w:r>
      <w:r w:rsidRPr="00AF751B">
        <w:rPr>
          <w:rFonts w:eastAsia="Cambria"/>
          <w:sz w:val="22"/>
          <w:lang w:eastAsia="en-US"/>
        </w:rPr>
        <w:t xml:space="preserve">termin wykonania  </w:t>
      </w:r>
      <w:r w:rsidR="004274F1" w:rsidRPr="00AF751B">
        <w:rPr>
          <w:rFonts w:eastAsia="Cambria"/>
          <w:sz w:val="22"/>
          <w:lang w:eastAsia="en-US"/>
        </w:rPr>
        <w:t xml:space="preserve"> Etapu I </w:t>
      </w:r>
      <w:r w:rsidR="00AF4026" w:rsidRPr="00AF751B">
        <w:rPr>
          <w:rFonts w:eastAsia="Cambria"/>
          <w:sz w:val="22"/>
          <w:lang w:eastAsia="en-US"/>
        </w:rPr>
        <w:t xml:space="preserve">przedmiotu </w:t>
      </w:r>
      <w:r w:rsidR="004274F1" w:rsidRPr="00AF751B">
        <w:rPr>
          <w:rFonts w:eastAsia="Cambria"/>
          <w:sz w:val="22"/>
          <w:lang w:eastAsia="en-US"/>
        </w:rPr>
        <w:t>zamówienia</w:t>
      </w:r>
      <w:r w:rsidRPr="00AF751B">
        <w:rPr>
          <w:rFonts w:eastAsia="Cambria"/>
          <w:sz w:val="22"/>
          <w:lang w:eastAsia="en-US"/>
        </w:rPr>
        <w:t xml:space="preserve">, </w:t>
      </w:r>
      <w:r w:rsidR="00BB4264" w:rsidRPr="00AF751B">
        <w:rPr>
          <w:rFonts w:eastAsia="Cambria"/>
          <w:sz w:val="22"/>
          <w:lang w:eastAsia="en-US"/>
        </w:rPr>
        <w:t xml:space="preserve">dotyczący zaprojektowania systemu modułu budżetu oraz modułu sprawozdania finansowe, </w:t>
      </w:r>
      <w:r w:rsidRPr="00AF751B">
        <w:rPr>
          <w:rFonts w:eastAsia="Cambria"/>
          <w:sz w:val="22"/>
          <w:lang w:eastAsia="en-US"/>
        </w:rPr>
        <w:t>liczony</w:t>
      </w:r>
      <w:r w:rsidR="00B35D56" w:rsidRPr="00AF751B">
        <w:rPr>
          <w:rFonts w:eastAsia="Cambria"/>
          <w:sz w:val="22"/>
          <w:lang w:eastAsia="en-US"/>
        </w:rPr>
        <w:t xml:space="preserve"> w dniach roboczych</w:t>
      </w:r>
      <w:r w:rsidRPr="00AF751B">
        <w:rPr>
          <w:rFonts w:eastAsia="Cambria"/>
          <w:sz w:val="22"/>
          <w:lang w:eastAsia="en-US"/>
        </w:rPr>
        <w:t xml:space="preserve"> od dnia zawarcia umowy.</w:t>
      </w:r>
    </w:p>
    <w:p w:rsidR="00AF751B" w:rsidRPr="00AF751B" w:rsidRDefault="00703D11" w:rsidP="00AF751B">
      <w:pPr>
        <w:pStyle w:val="Akapitzlist"/>
        <w:numPr>
          <w:ilvl w:val="1"/>
          <w:numId w:val="18"/>
        </w:numPr>
        <w:tabs>
          <w:tab w:val="left" w:pos="284"/>
        </w:tabs>
        <w:ind w:left="1276" w:hanging="567"/>
        <w:jc w:val="both"/>
        <w:rPr>
          <w:sz w:val="22"/>
          <w:lang w:val="cs-CZ"/>
        </w:rPr>
      </w:pPr>
      <w:r w:rsidRPr="00AF751B">
        <w:rPr>
          <w:sz w:val="22"/>
          <w:lang w:val="cs-CZ"/>
        </w:rPr>
        <w:t xml:space="preserve">Wykonawca w formularzu ofertowym wskazuje liczbę dni </w:t>
      </w:r>
      <w:r w:rsidR="004274F1" w:rsidRPr="00AF751B">
        <w:rPr>
          <w:sz w:val="22"/>
          <w:lang w:val="cs-CZ"/>
        </w:rPr>
        <w:t>robo</w:t>
      </w:r>
      <w:r w:rsidR="0009191A" w:rsidRPr="00AF751B">
        <w:rPr>
          <w:sz w:val="22"/>
          <w:lang w:val="cs-CZ"/>
        </w:rPr>
        <w:t>czych o jaką oferuje skrócenie 8</w:t>
      </w:r>
      <w:r w:rsidRPr="00AF751B">
        <w:rPr>
          <w:sz w:val="22"/>
          <w:lang w:val="cs-CZ"/>
        </w:rPr>
        <w:t xml:space="preserve">0-dniowego terminu wykonania </w:t>
      </w:r>
      <w:r w:rsidR="004274F1" w:rsidRPr="00AF751B">
        <w:rPr>
          <w:sz w:val="22"/>
          <w:lang w:val="cs-CZ"/>
        </w:rPr>
        <w:t xml:space="preserve">Etapu I </w:t>
      </w:r>
      <w:r w:rsidRPr="00AF751B">
        <w:rPr>
          <w:sz w:val="22"/>
          <w:lang w:val="cs-CZ"/>
        </w:rPr>
        <w:t xml:space="preserve">przedmiotu zamówienia. </w:t>
      </w:r>
    </w:p>
    <w:p w:rsidR="00AF751B" w:rsidRPr="00AF751B" w:rsidRDefault="00703D11" w:rsidP="00AF751B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before="75" w:after="75"/>
        <w:ind w:left="1276" w:right="75" w:hanging="567"/>
        <w:jc w:val="both"/>
        <w:rPr>
          <w:rFonts w:eastAsia="Cambria"/>
          <w:b/>
          <w:sz w:val="22"/>
          <w:lang w:eastAsia="en-US"/>
        </w:rPr>
      </w:pPr>
      <w:r w:rsidRPr="00AF751B">
        <w:rPr>
          <w:rFonts w:eastAsia="Cambria"/>
          <w:sz w:val="22"/>
          <w:lang w:eastAsia="en-US"/>
        </w:rPr>
        <w:t xml:space="preserve">Ocenie będzie podlegać skrócenie </w:t>
      </w:r>
      <w:r w:rsidR="0009191A" w:rsidRPr="00AF751B">
        <w:rPr>
          <w:sz w:val="22"/>
          <w:lang w:val="cs-CZ"/>
        </w:rPr>
        <w:t>8</w:t>
      </w:r>
      <w:r w:rsidRPr="00AF751B">
        <w:rPr>
          <w:sz w:val="22"/>
          <w:lang w:val="cs-CZ"/>
        </w:rPr>
        <w:t xml:space="preserve">0-dniowego </w:t>
      </w:r>
      <w:r w:rsidRPr="00AF751B">
        <w:rPr>
          <w:rFonts w:eastAsia="Cambria"/>
          <w:sz w:val="22"/>
          <w:lang w:eastAsia="en-US"/>
        </w:rPr>
        <w:t xml:space="preserve">terminu wykonania </w:t>
      </w:r>
      <w:r w:rsidR="00AF4026" w:rsidRPr="00AF751B">
        <w:rPr>
          <w:rFonts w:eastAsia="Cambria"/>
          <w:sz w:val="22"/>
          <w:lang w:eastAsia="en-US"/>
        </w:rPr>
        <w:t xml:space="preserve">Etapu I przedmiotu zamówienia </w:t>
      </w:r>
      <w:r w:rsidRPr="00AF751B">
        <w:rPr>
          <w:rFonts w:eastAsia="Cambria"/>
          <w:b/>
          <w:sz w:val="22"/>
          <w:lang w:eastAsia="en-US"/>
        </w:rPr>
        <w:t>maksymalnie o  10</w:t>
      </w:r>
      <w:r w:rsidRPr="00AF751B">
        <w:rPr>
          <w:rFonts w:eastAsia="Cambria"/>
          <w:b/>
          <w:color w:val="FF0000"/>
          <w:sz w:val="22"/>
          <w:lang w:eastAsia="en-US"/>
        </w:rPr>
        <w:t xml:space="preserve"> </w:t>
      </w:r>
      <w:r w:rsidRPr="00AF751B">
        <w:rPr>
          <w:rFonts w:eastAsia="Cambria"/>
          <w:b/>
          <w:sz w:val="22"/>
          <w:lang w:eastAsia="en-US"/>
        </w:rPr>
        <w:t xml:space="preserve">dni </w:t>
      </w:r>
      <w:r w:rsidR="00AF4026" w:rsidRPr="00AF751B">
        <w:rPr>
          <w:rFonts w:eastAsia="Cambria"/>
          <w:b/>
          <w:sz w:val="22"/>
          <w:lang w:eastAsia="en-US"/>
        </w:rPr>
        <w:t>roboczych.</w:t>
      </w:r>
    </w:p>
    <w:p w:rsidR="00703D11" w:rsidRPr="00AF751B" w:rsidRDefault="00703D11" w:rsidP="00AF751B">
      <w:pPr>
        <w:pStyle w:val="Akapitzlist"/>
        <w:numPr>
          <w:ilvl w:val="1"/>
          <w:numId w:val="18"/>
        </w:numPr>
        <w:tabs>
          <w:tab w:val="left" w:pos="284"/>
        </w:tabs>
        <w:ind w:left="1276" w:hanging="567"/>
        <w:rPr>
          <w:rFonts w:eastAsia="Calibri"/>
          <w:color w:val="000000"/>
          <w:sz w:val="22"/>
        </w:rPr>
      </w:pPr>
      <w:r w:rsidRPr="00AF751B">
        <w:rPr>
          <w:rFonts w:eastAsia="Calibri"/>
          <w:color w:val="000000"/>
          <w:sz w:val="22"/>
        </w:rPr>
        <w:t>Punkty w tym kryterium obliczone zostaną według wzoru:</w:t>
      </w:r>
    </w:p>
    <w:p w:rsidR="00703D11" w:rsidRDefault="00703D11" w:rsidP="00703D11">
      <w:pPr>
        <w:suppressAutoHyphens/>
        <w:spacing w:after="0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</w:t>
      </w:r>
      <w:r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wykonania badanej </w:t>
      </w:r>
      <w:r>
        <w:rPr>
          <w:sz w:val="22"/>
          <w:lang w:val="x-none" w:eastAsia="ar-SA"/>
        </w:rPr>
        <w:t xml:space="preserve"> ofer</w:t>
      </w:r>
      <w:r>
        <w:rPr>
          <w:sz w:val="22"/>
          <w:lang w:eastAsia="ar-SA"/>
        </w:rPr>
        <w:t>ty</w:t>
      </w:r>
    </w:p>
    <w:p w:rsidR="00703D11" w:rsidRDefault="00703D11" w:rsidP="00703D11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>
        <w:rPr>
          <w:sz w:val="22"/>
          <w:lang w:val="x-none" w:eastAsia="ar-SA"/>
        </w:rPr>
        <w:t xml:space="preserve"> uzyskanych punktów = </w:t>
      </w:r>
      <w:r>
        <w:rPr>
          <w:color w:val="000000"/>
          <w:sz w:val="22"/>
          <w:lang w:val="x-none" w:eastAsia="ar-SA"/>
        </w:rPr>
        <w:t>---------------------</w:t>
      </w:r>
      <w:r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-------------------</w:t>
      </w:r>
      <w:r>
        <w:rPr>
          <w:color w:val="000000"/>
          <w:sz w:val="22"/>
          <w:lang w:val="x-none" w:eastAsia="ar-SA"/>
        </w:rPr>
        <w:t xml:space="preserve">--------------------------- </w:t>
      </w:r>
      <w:r>
        <w:rPr>
          <w:sz w:val="22"/>
          <w:lang w:val="x-none" w:eastAsia="ar-SA"/>
        </w:rPr>
        <w:t xml:space="preserve">x </w:t>
      </w:r>
      <w:r>
        <w:rPr>
          <w:sz w:val="22"/>
          <w:lang w:eastAsia="ar-SA"/>
        </w:rPr>
        <w:t>40</w:t>
      </w:r>
    </w:p>
    <w:p w:rsidR="00703D11" w:rsidRDefault="00703D11" w:rsidP="00703D11">
      <w:pPr>
        <w:suppressAutoHyphens/>
        <w:spacing w:after="0"/>
        <w:ind w:left="4253" w:hanging="1418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</w:t>
      </w:r>
      <w:r>
        <w:rPr>
          <w:sz w:val="22"/>
          <w:lang w:val="x-none" w:eastAsia="ar-SA"/>
        </w:rPr>
        <w:t xml:space="preserve">największa liczba dni </w:t>
      </w:r>
      <w:r>
        <w:rPr>
          <w:sz w:val="22"/>
          <w:lang w:eastAsia="ar-SA"/>
        </w:rPr>
        <w:t xml:space="preserve">skracających </w:t>
      </w:r>
      <w:r>
        <w:rPr>
          <w:sz w:val="22"/>
          <w:lang w:val="x-none" w:eastAsia="ar-SA"/>
        </w:rPr>
        <w:t xml:space="preserve">termin </w:t>
      </w:r>
      <w:r>
        <w:rPr>
          <w:sz w:val="22"/>
          <w:lang w:eastAsia="ar-SA"/>
        </w:rPr>
        <w:t xml:space="preserve">wykonania                        </w:t>
      </w:r>
      <w:r>
        <w:rPr>
          <w:sz w:val="22"/>
          <w:lang w:val="x-none" w:eastAsia="ar-SA"/>
        </w:rPr>
        <w:t>spośród badanych ofert</w:t>
      </w:r>
    </w:p>
    <w:p w:rsidR="00703D11" w:rsidRDefault="00703D11" w:rsidP="00703D11">
      <w:pPr>
        <w:suppressAutoHyphens/>
        <w:rPr>
          <w:sz w:val="22"/>
          <w:lang w:eastAsia="ar-SA"/>
        </w:rPr>
      </w:pPr>
    </w:p>
    <w:p w:rsidR="00AF751B" w:rsidRPr="00AF751B" w:rsidRDefault="00703D11" w:rsidP="00AF751B">
      <w:pPr>
        <w:pStyle w:val="Akapitzlist"/>
        <w:numPr>
          <w:ilvl w:val="1"/>
          <w:numId w:val="18"/>
        </w:numPr>
        <w:suppressAutoHyphens/>
        <w:ind w:left="1276" w:hanging="567"/>
        <w:rPr>
          <w:sz w:val="22"/>
          <w:lang w:eastAsia="ar-SA"/>
        </w:rPr>
      </w:pPr>
      <w:r w:rsidRPr="00AF751B">
        <w:rPr>
          <w:color w:val="000000"/>
          <w:sz w:val="22"/>
          <w:lang w:val="x-none" w:eastAsia="ar-SA"/>
        </w:rPr>
        <w:t>Wynik działania zostanie  zaokrąglony do 2 miejsc po przecinku,</w:t>
      </w:r>
      <w:r w:rsidRPr="00AF751B">
        <w:rPr>
          <w:sz w:val="22"/>
          <w:lang w:val="x-none" w:eastAsia="ar-SA"/>
        </w:rPr>
        <w:t xml:space="preserve"> maksymalna liczba punktów jaką można uzyskać – </w:t>
      </w:r>
      <w:r w:rsidRPr="00AF751B">
        <w:rPr>
          <w:sz w:val="22"/>
          <w:lang w:eastAsia="ar-SA"/>
        </w:rPr>
        <w:t>40.</w:t>
      </w:r>
    </w:p>
    <w:p w:rsidR="00AF751B" w:rsidRPr="00AF751B" w:rsidRDefault="00703D11" w:rsidP="00AF751B">
      <w:pPr>
        <w:pStyle w:val="Akapitzlist"/>
        <w:widowControl w:val="0"/>
        <w:numPr>
          <w:ilvl w:val="1"/>
          <w:numId w:val="18"/>
        </w:numPr>
        <w:ind w:left="1276" w:hanging="567"/>
        <w:jc w:val="both"/>
        <w:rPr>
          <w:sz w:val="22"/>
          <w:lang w:eastAsia="en-US"/>
        </w:rPr>
      </w:pPr>
      <w:r w:rsidRPr="00AF751B">
        <w:rPr>
          <w:sz w:val="22"/>
        </w:rPr>
        <w:t xml:space="preserve">Jeżeli Wykonawca w ofercie nie </w:t>
      </w:r>
      <w:r w:rsidRPr="00AF751B">
        <w:rPr>
          <w:sz w:val="22"/>
          <w:lang w:eastAsia="en-US"/>
        </w:rPr>
        <w:t xml:space="preserve">zaoferuje skrócenia terminu wykonania </w:t>
      </w:r>
      <w:r w:rsidR="00AF4026" w:rsidRPr="00AF751B">
        <w:rPr>
          <w:sz w:val="22"/>
          <w:lang w:eastAsia="en-US"/>
        </w:rPr>
        <w:t>Etapu I przedmiotu zamówienia</w:t>
      </w:r>
      <w:r w:rsidRPr="00AF751B">
        <w:rPr>
          <w:sz w:val="22"/>
          <w:lang w:eastAsia="en-US"/>
        </w:rPr>
        <w:t xml:space="preserve">, w powyższym kryterium,  otrzyma 0 punktów bez podstawiania do wzoru. </w:t>
      </w:r>
    </w:p>
    <w:p w:rsidR="00703D11" w:rsidRPr="00AF751B" w:rsidRDefault="00703D11" w:rsidP="00AF751B">
      <w:pPr>
        <w:pStyle w:val="Akapitzlist"/>
        <w:widowControl w:val="0"/>
        <w:numPr>
          <w:ilvl w:val="1"/>
          <w:numId w:val="18"/>
        </w:numPr>
        <w:ind w:left="1276" w:hanging="567"/>
        <w:jc w:val="both"/>
        <w:rPr>
          <w:sz w:val="22"/>
          <w:lang w:eastAsia="ar-SA"/>
        </w:rPr>
      </w:pPr>
      <w:r w:rsidRPr="00AF751B">
        <w:rPr>
          <w:sz w:val="22"/>
        </w:rPr>
        <w:t xml:space="preserve">Jeżeli Wykonawca w ofercie </w:t>
      </w:r>
      <w:r w:rsidR="00B35D56" w:rsidRPr="00AF751B">
        <w:rPr>
          <w:sz w:val="22"/>
          <w:lang w:eastAsia="ar-SA"/>
        </w:rPr>
        <w:t xml:space="preserve">zaoferuje skrócenie </w:t>
      </w:r>
      <w:r w:rsidR="0009191A" w:rsidRPr="00AF751B">
        <w:rPr>
          <w:sz w:val="22"/>
          <w:lang w:eastAsia="ar-SA"/>
        </w:rPr>
        <w:t>8</w:t>
      </w:r>
      <w:r w:rsidRPr="00AF751B">
        <w:rPr>
          <w:sz w:val="22"/>
          <w:lang w:eastAsia="ar-SA"/>
        </w:rPr>
        <w:t xml:space="preserve">0-dniowego </w:t>
      </w:r>
      <w:r w:rsidRPr="00AF751B">
        <w:rPr>
          <w:sz w:val="22"/>
          <w:lang w:eastAsia="en-US"/>
        </w:rPr>
        <w:t xml:space="preserve">terminu wykonania </w:t>
      </w:r>
      <w:r w:rsidR="00B35D56" w:rsidRPr="00AF751B">
        <w:rPr>
          <w:sz w:val="22"/>
          <w:lang w:eastAsia="en-US"/>
        </w:rPr>
        <w:t xml:space="preserve">Etapu I przedmiotu zamówienia </w:t>
      </w:r>
      <w:r w:rsidRPr="00AF751B">
        <w:rPr>
          <w:sz w:val="22"/>
          <w:lang w:eastAsia="ar-SA"/>
        </w:rPr>
        <w:t>o więcej niż 10 dni</w:t>
      </w:r>
      <w:r w:rsidR="00B35D56" w:rsidRPr="00AF751B">
        <w:rPr>
          <w:sz w:val="22"/>
          <w:lang w:eastAsia="ar-SA"/>
        </w:rPr>
        <w:t xml:space="preserve"> robocze</w:t>
      </w:r>
      <w:r w:rsidRPr="00AF751B">
        <w:rPr>
          <w:sz w:val="22"/>
          <w:lang w:eastAsia="ar-SA"/>
        </w:rPr>
        <w:t xml:space="preserve">, to punkty zostaną obliczone jak dla 10 -dniowego skrócenia terminu wykonania </w:t>
      </w:r>
      <w:r w:rsidR="00B35D56" w:rsidRPr="00AF751B">
        <w:rPr>
          <w:sz w:val="22"/>
          <w:lang w:eastAsia="ar-SA"/>
        </w:rPr>
        <w:t>Etapu I przedmiotu zamówienia</w:t>
      </w:r>
      <w:r w:rsidRPr="00AF751B">
        <w:rPr>
          <w:sz w:val="22"/>
          <w:lang w:eastAsia="ar-SA"/>
        </w:rPr>
        <w:t xml:space="preserve">. </w:t>
      </w:r>
    </w:p>
    <w:p w:rsidR="00703D11" w:rsidRPr="00B773CE" w:rsidRDefault="00703D11" w:rsidP="00AF751B">
      <w:pPr>
        <w:pStyle w:val="Akapitzlist"/>
        <w:numPr>
          <w:ilvl w:val="0"/>
          <w:numId w:val="24"/>
        </w:numPr>
        <w:suppressAutoHyphens/>
        <w:spacing w:line="360" w:lineRule="auto"/>
        <w:ind w:left="1134" w:hanging="425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703D11" w:rsidRPr="00A703F5" w:rsidRDefault="00703D11" w:rsidP="00AF751B">
      <w:pPr>
        <w:spacing w:line="360" w:lineRule="auto"/>
        <w:ind w:left="113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lastRenderedPageBreak/>
        <w:t>Jako najkorzystniejsza zostanie wybrana oferta, która uzyska największą liczbę punktów spośród ofert nie podlegających odrzuceniu.</w:t>
      </w:r>
    </w:p>
    <w:p w:rsidR="00703D11" w:rsidRPr="00DB32FB" w:rsidRDefault="00703D11" w:rsidP="00AF751B">
      <w:pPr>
        <w:pStyle w:val="Akapitzlist"/>
        <w:numPr>
          <w:ilvl w:val="0"/>
          <w:numId w:val="25"/>
        </w:numPr>
        <w:spacing w:after="0" w:line="360" w:lineRule="auto"/>
        <w:ind w:left="1134" w:hanging="425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703D11" w:rsidRPr="00DB32FB" w:rsidRDefault="00703D11" w:rsidP="00AF751B">
      <w:pPr>
        <w:pStyle w:val="Akapitzlist"/>
        <w:numPr>
          <w:ilvl w:val="0"/>
          <w:numId w:val="25"/>
        </w:numPr>
        <w:spacing w:before="26" w:after="0" w:line="360" w:lineRule="auto"/>
        <w:ind w:left="1134" w:hanging="425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703D11" w:rsidRPr="00DB32FB" w:rsidRDefault="00703D11" w:rsidP="00AF751B">
      <w:pPr>
        <w:pStyle w:val="Akapitzlist"/>
        <w:numPr>
          <w:ilvl w:val="0"/>
          <w:numId w:val="25"/>
        </w:numPr>
        <w:spacing w:before="26" w:after="0" w:line="360" w:lineRule="auto"/>
        <w:ind w:left="1134" w:hanging="425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>
        <w:rPr>
          <w:sz w:val="22"/>
        </w:rPr>
        <w:t>.</w:t>
      </w:r>
    </w:p>
    <w:p w:rsidR="00703D11" w:rsidRPr="00DB32FB" w:rsidRDefault="00703D11" w:rsidP="00AF751B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ind w:left="1134" w:hanging="425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84307C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84307C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84307C">
      <w:pPr>
        <w:pStyle w:val="Tekstpodstawowywcity2"/>
        <w:numPr>
          <w:ilvl w:val="0"/>
          <w:numId w:val="33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09191A" w:rsidRDefault="0009191A" w:rsidP="003F2F74">
      <w:pPr>
        <w:pStyle w:val="Akapitzlist"/>
        <w:spacing w:before="26" w:after="0"/>
        <w:jc w:val="both"/>
        <w:rPr>
          <w:sz w:val="22"/>
        </w:rPr>
      </w:pPr>
      <w:r w:rsidRPr="0009191A">
        <w:rPr>
          <w:sz w:val="22"/>
        </w:rPr>
        <w:t>Zamawiający nie przewiduje obowiązku wniesienia zabezpieczenia należytego wykonania umowy.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84307C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09191A">
        <w:rPr>
          <w:sz w:val="22"/>
        </w:rPr>
        <w:t xml:space="preserve">załącznik nr </w:t>
      </w:r>
      <w:r w:rsidR="00017401" w:rsidRPr="0009191A">
        <w:rPr>
          <w:sz w:val="22"/>
        </w:rPr>
        <w:t>4</w:t>
      </w:r>
      <w:r w:rsidR="00900615" w:rsidRPr="0009191A">
        <w:rPr>
          <w:sz w:val="22"/>
        </w:rPr>
        <w:t xml:space="preserve"> </w:t>
      </w:r>
      <w:r w:rsidR="00900615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9F1D25" w:rsidRPr="00A703F5" w:rsidRDefault="009F1D25" w:rsidP="0084307C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84307C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84307C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8430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9F1D25" w:rsidRPr="003A6C50" w:rsidRDefault="009F1D25" w:rsidP="008430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84307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84307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8430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8430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9F1D25" w:rsidRPr="003A6C50" w:rsidRDefault="009F1D25" w:rsidP="008430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8430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84307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84307C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84307C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Pr="00017401" w:rsidRDefault="000706F4" w:rsidP="00017401">
      <w:pPr>
        <w:numPr>
          <w:ilvl w:val="0"/>
          <w:numId w:val="29"/>
        </w:numPr>
        <w:spacing w:after="0" w:line="360" w:lineRule="auto"/>
        <w:ind w:left="1068"/>
        <w:jc w:val="both"/>
        <w:rPr>
          <w:b/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017401" w:rsidRPr="00017401">
        <w:rPr>
          <w:b/>
          <w:sz w:val="22"/>
        </w:rPr>
        <w:t xml:space="preserve"> </w:t>
      </w:r>
      <w:r w:rsidR="00017401">
        <w:rPr>
          <w:b/>
          <w:sz w:val="22"/>
        </w:rPr>
        <w:t xml:space="preserve">na </w:t>
      </w:r>
      <w:r w:rsidR="00017401">
        <w:rPr>
          <w:b/>
          <w:sz w:val="20"/>
          <w:szCs w:val="20"/>
        </w:rPr>
        <w:t>usługę polegającą</w:t>
      </w:r>
      <w:r w:rsidR="00017401" w:rsidRPr="00017401">
        <w:rPr>
          <w:b/>
          <w:sz w:val="20"/>
          <w:szCs w:val="20"/>
        </w:rPr>
        <w:t xml:space="preserve"> na udostępnieniu i wdrożeniu platformy zintegrowanego systemu informatycznego obejmującego dwa moduły: do obsługi budżetu i sprawozdań finansowych</w:t>
      </w:r>
      <w:r w:rsidRPr="00017401">
        <w:rPr>
          <w:sz w:val="20"/>
          <w:szCs w:val="20"/>
        </w:rPr>
        <w:t xml:space="preserve"> </w:t>
      </w:r>
      <w:r w:rsidR="00017401">
        <w:rPr>
          <w:color w:val="595959"/>
          <w:sz w:val="20"/>
          <w:szCs w:val="20"/>
        </w:rPr>
        <w:t xml:space="preserve">( postępowanie nr ZP.272.1.17.2023) </w:t>
      </w:r>
      <w:r w:rsidRPr="00017401">
        <w:rPr>
          <w:sz w:val="20"/>
          <w:szCs w:val="20"/>
        </w:rPr>
        <w:t xml:space="preserve">prowadzonym </w:t>
      </w:r>
      <w:r w:rsidRPr="00017401">
        <w:rPr>
          <w:b/>
          <w:sz w:val="20"/>
          <w:szCs w:val="20"/>
        </w:rPr>
        <w:t>w trybie przetargu nieograniczonego.</w:t>
      </w:r>
      <w:r w:rsidRPr="00017401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mówień publicznych (Dz. U. z 202</w:t>
      </w:r>
      <w:r w:rsidR="00017401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DE76B8">
        <w:rPr>
          <w:sz w:val="20"/>
          <w:szCs w:val="20"/>
        </w:rPr>
        <w:t>1</w:t>
      </w:r>
      <w:r w:rsidR="00017401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0706F4" w:rsidRPr="00D60EDE" w:rsidRDefault="000706F4" w:rsidP="0084307C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84307C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84307C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84307C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0706F4" w:rsidRPr="006B4434" w:rsidRDefault="000706F4" w:rsidP="0084307C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84307C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84307C">
      <w:pPr>
        <w:numPr>
          <w:ilvl w:val="0"/>
          <w:numId w:val="30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84307C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84307C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84307C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84307C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84307C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Nie przysługuje Pani/Panu:</w:t>
      </w:r>
    </w:p>
    <w:p w:rsidR="000706F4" w:rsidRPr="0029086A" w:rsidRDefault="000706F4" w:rsidP="0084307C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84307C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84307C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84307C">
      <w:pPr>
        <w:pStyle w:val="Akapitzlist"/>
        <w:numPr>
          <w:ilvl w:val="0"/>
          <w:numId w:val="32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84307C">
      <w:pPr>
        <w:pStyle w:val="Akapitzlist"/>
        <w:numPr>
          <w:ilvl w:val="0"/>
          <w:numId w:val="32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E" w:rsidRDefault="00C6575E" w:rsidP="004F2A5C">
      <w:pPr>
        <w:spacing w:after="0" w:line="240" w:lineRule="auto"/>
      </w:pPr>
      <w:r>
        <w:separator/>
      </w:r>
    </w:p>
  </w:endnote>
  <w:endnote w:type="continuationSeparator" w:id="0">
    <w:p w:rsidR="00C6575E" w:rsidRDefault="00C6575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4274F1" w:rsidRDefault="00427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A4">
          <w:rPr>
            <w:noProof/>
          </w:rPr>
          <w:t>20</w:t>
        </w:r>
        <w:r>
          <w:fldChar w:fldCharType="end"/>
        </w:r>
      </w:p>
    </w:sdtContent>
  </w:sdt>
  <w:p w:rsidR="004274F1" w:rsidRDefault="00427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E" w:rsidRDefault="00C6575E" w:rsidP="004F2A5C">
      <w:pPr>
        <w:spacing w:after="0" w:line="240" w:lineRule="auto"/>
      </w:pPr>
      <w:r>
        <w:separator/>
      </w:r>
    </w:p>
  </w:footnote>
  <w:footnote w:type="continuationSeparator" w:id="0">
    <w:p w:rsidR="00C6575E" w:rsidRDefault="00C6575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A76090B"/>
    <w:multiLevelType w:val="hybridMultilevel"/>
    <w:tmpl w:val="AF549630"/>
    <w:lvl w:ilvl="0" w:tplc="0415000F">
      <w:start w:val="1"/>
      <w:numFmt w:val="decimal"/>
      <w:lvlText w:val="%1."/>
      <w:lvlJc w:val="left"/>
      <w:pPr>
        <w:ind w:left="4822" w:hanging="360"/>
      </w:pPr>
    </w:lvl>
    <w:lvl w:ilvl="1" w:tplc="5218C4A0">
      <w:start w:val="1"/>
      <w:numFmt w:val="lowerLetter"/>
      <w:lvlText w:val="%2)"/>
      <w:lvlJc w:val="left"/>
      <w:pPr>
        <w:ind w:left="3600" w:hanging="360"/>
      </w:pPr>
      <w:rPr>
        <w:rFonts w:ascii="Times New Roman" w:eastAsia="Calibri" w:hAnsi="Times New Roman" w:cs="Times New Roman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5656B716">
      <w:start w:val="1"/>
      <w:numFmt w:val="lowerLetter"/>
      <w:lvlText w:val="%4)"/>
      <w:lvlJc w:val="left"/>
      <w:pPr>
        <w:ind w:left="121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multilevel"/>
    <w:tmpl w:val="706A1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B7375"/>
    <w:multiLevelType w:val="hybridMultilevel"/>
    <w:tmpl w:val="6C3833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06ED854">
      <w:start w:val="1"/>
      <w:numFmt w:val="decimal"/>
      <w:lvlText w:val="%2)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C186F"/>
    <w:multiLevelType w:val="hybridMultilevel"/>
    <w:tmpl w:val="44AAB0C6"/>
    <w:lvl w:ilvl="0" w:tplc="1A36D7E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5E1091"/>
    <w:multiLevelType w:val="hybridMultilevel"/>
    <w:tmpl w:val="F1866B68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8" w15:restartNumberingAfterBreak="0">
    <w:nsid w:val="7C6F7E01"/>
    <w:multiLevelType w:val="hybridMultilevel"/>
    <w:tmpl w:val="51E889E8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3"/>
  </w:num>
  <w:num w:numId="3">
    <w:abstractNumId w:val="38"/>
  </w:num>
  <w:num w:numId="4">
    <w:abstractNumId w:val="32"/>
  </w:num>
  <w:num w:numId="5">
    <w:abstractNumId w:val="36"/>
  </w:num>
  <w:num w:numId="6">
    <w:abstractNumId w:val="27"/>
  </w:num>
  <w:num w:numId="7">
    <w:abstractNumId w:val="7"/>
  </w:num>
  <w:num w:numId="8">
    <w:abstractNumId w:val="48"/>
  </w:num>
  <w:num w:numId="9">
    <w:abstractNumId w:val="35"/>
  </w:num>
  <w:num w:numId="10">
    <w:abstractNumId w:val="8"/>
  </w:num>
  <w:num w:numId="11">
    <w:abstractNumId w:val="37"/>
  </w:num>
  <w:num w:numId="12">
    <w:abstractNumId w:val="14"/>
  </w:num>
  <w:num w:numId="13">
    <w:abstractNumId w:val="28"/>
  </w:num>
  <w:num w:numId="14">
    <w:abstractNumId w:val="31"/>
  </w:num>
  <w:num w:numId="15">
    <w:abstractNumId w:val="29"/>
  </w:num>
  <w:num w:numId="16">
    <w:abstractNumId w:val="39"/>
  </w:num>
  <w:num w:numId="17">
    <w:abstractNumId w:val="12"/>
  </w:num>
  <w:num w:numId="18">
    <w:abstractNumId w:val="3"/>
  </w:num>
  <w:num w:numId="19">
    <w:abstractNumId w:val="2"/>
  </w:num>
  <w:num w:numId="20">
    <w:abstractNumId w:val="10"/>
  </w:num>
  <w:num w:numId="21">
    <w:abstractNumId w:val="44"/>
  </w:num>
  <w:num w:numId="22">
    <w:abstractNumId w:val="6"/>
  </w:num>
  <w:num w:numId="23">
    <w:abstractNumId w:val="34"/>
  </w:num>
  <w:num w:numId="24">
    <w:abstractNumId w:val="11"/>
  </w:num>
  <w:num w:numId="25">
    <w:abstractNumId w:val="43"/>
  </w:num>
  <w:num w:numId="26">
    <w:abstractNumId w:val="23"/>
  </w:num>
  <w:num w:numId="27">
    <w:abstractNumId w:val="9"/>
  </w:num>
  <w:num w:numId="28">
    <w:abstractNumId w:val="41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0"/>
  </w:num>
  <w:num w:numId="35">
    <w:abstractNumId w:val="24"/>
  </w:num>
  <w:num w:numId="36">
    <w:abstractNumId w:val="5"/>
  </w:num>
  <w:num w:numId="37">
    <w:abstractNumId w:val="15"/>
  </w:num>
  <w:num w:numId="38">
    <w:abstractNumId w:val="42"/>
  </w:num>
  <w:num w:numId="39">
    <w:abstractNumId w:val="47"/>
  </w:num>
  <w:num w:numId="40">
    <w:abstractNumId w:val="21"/>
  </w:num>
  <w:num w:numId="41">
    <w:abstractNumId w:val="4"/>
  </w:num>
  <w:num w:numId="42">
    <w:abstractNumId w:val="0"/>
  </w:num>
  <w:num w:numId="43">
    <w:abstractNumId w:val="16"/>
  </w:num>
  <w:num w:numId="44">
    <w:abstractNumId w:val="46"/>
  </w:num>
  <w:num w:numId="45">
    <w:abstractNumId w:val="40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7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1262"/>
    <w:rsid w:val="00006548"/>
    <w:rsid w:val="00017401"/>
    <w:rsid w:val="000218CE"/>
    <w:rsid w:val="0003480F"/>
    <w:rsid w:val="00040020"/>
    <w:rsid w:val="00042A30"/>
    <w:rsid w:val="00045777"/>
    <w:rsid w:val="00057589"/>
    <w:rsid w:val="000706F4"/>
    <w:rsid w:val="00072649"/>
    <w:rsid w:val="00075DD4"/>
    <w:rsid w:val="0008691E"/>
    <w:rsid w:val="0009130A"/>
    <w:rsid w:val="0009191A"/>
    <w:rsid w:val="000932C0"/>
    <w:rsid w:val="000B60F9"/>
    <w:rsid w:val="000D1F3D"/>
    <w:rsid w:val="000D675F"/>
    <w:rsid w:val="000E3F80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22F8E"/>
    <w:rsid w:val="0015198A"/>
    <w:rsid w:val="00151F5E"/>
    <w:rsid w:val="00161342"/>
    <w:rsid w:val="00181919"/>
    <w:rsid w:val="00182EE5"/>
    <w:rsid w:val="00194907"/>
    <w:rsid w:val="001953D3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6611D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F70C6"/>
    <w:rsid w:val="00304C22"/>
    <w:rsid w:val="00305230"/>
    <w:rsid w:val="00314F8B"/>
    <w:rsid w:val="00326B0D"/>
    <w:rsid w:val="0032782E"/>
    <w:rsid w:val="00334AB1"/>
    <w:rsid w:val="00341F99"/>
    <w:rsid w:val="00350BEC"/>
    <w:rsid w:val="00351013"/>
    <w:rsid w:val="00363C12"/>
    <w:rsid w:val="003663A2"/>
    <w:rsid w:val="00383DDA"/>
    <w:rsid w:val="0038742B"/>
    <w:rsid w:val="00387A51"/>
    <w:rsid w:val="00391EC5"/>
    <w:rsid w:val="003A4325"/>
    <w:rsid w:val="003B2B21"/>
    <w:rsid w:val="003C53CB"/>
    <w:rsid w:val="003C5710"/>
    <w:rsid w:val="003C66EF"/>
    <w:rsid w:val="003D003B"/>
    <w:rsid w:val="003D65CC"/>
    <w:rsid w:val="003E1CFB"/>
    <w:rsid w:val="003E6F11"/>
    <w:rsid w:val="003F2F74"/>
    <w:rsid w:val="003F791B"/>
    <w:rsid w:val="0040038D"/>
    <w:rsid w:val="00407674"/>
    <w:rsid w:val="0041323A"/>
    <w:rsid w:val="004178AB"/>
    <w:rsid w:val="004274F1"/>
    <w:rsid w:val="004309B9"/>
    <w:rsid w:val="00432D98"/>
    <w:rsid w:val="0043463C"/>
    <w:rsid w:val="00442059"/>
    <w:rsid w:val="00450597"/>
    <w:rsid w:val="004600A0"/>
    <w:rsid w:val="004603B1"/>
    <w:rsid w:val="00474278"/>
    <w:rsid w:val="0047571D"/>
    <w:rsid w:val="00480AE1"/>
    <w:rsid w:val="00482373"/>
    <w:rsid w:val="004832DC"/>
    <w:rsid w:val="004913FC"/>
    <w:rsid w:val="004A5D9B"/>
    <w:rsid w:val="004B42BE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109B"/>
    <w:rsid w:val="0057414B"/>
    <w:rsid w:val="00575AFD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1145"/>
    <w:rsid w:val="006D27AC"/>
    <w:rsid w:val="006E1BC2"/>
    <w:rsid w:val="006F09ED"/>
    <w:rsid w:val="00703D11"/>
    <w:rsid w:val="00705419"/>
    <w:rsid w:val="00706B78"/>
    <w:rsid w:val="007247D2"/>
    <w:rsid w:val="007257B2"/>
    <w:rsid w:val="00754D64"/>
    <w:rsid w:val="0076111F"/>
    <w:rsid w:val="00765812"/>
    <w:rsid w:val="00765EC7"/>
    <w:rsid w:val="007747A2"/>
    <w:rsid w:val="0078464C"/>
    <w:rsid w:val="007872DF"/>
    <w:rsid w:val="007A3C94"/>
    <w:rsid w:val="007A3CB4"/>
    <w:rsid w:val="007A40BC"/>
    <w:rsid w:val="007C794C"/>
    <w:rsid w:val="007D72E1"/>
    <w:rsid w:val="007E2A4E"/>
    <w:rsid w:val="007E3B41"/>
    <w:rsid w:val="007E55C9"/>
    <w:rsid w:val="007E6A1B"/>
    <w:rsid w:val="007F06A9"/>
    <w:rsid w:val="007F1CA5"/>
    <w:rsid w:val="00800CA5"/>
    <w:rsid w:val="00811043"/>
    <w:rsid w:val="00812C1E"/>
    <w:rsid w:val="00812F48"/>
    <w:rsid w:val="00812F97"/>
    <w:rsid w:val="00826B6E"/>
    <w:rsid w:val="00826EE1"/>
    <w:rsid w:val="008352C5"/>
    <w:rsid w:val="0084307C"/>
    <w:rsid w:val="00865B16"/>
    <w:rsid w:val="00867671"/>
    <w:rsid w:val="008728BD"/>
    <w:rsid w:val="00882DF6"/>
    <w:rsid w:val="00884385"/>
    <w:rsid w:val="00892CAD"/>
    <w:rsid w:val="0089508E"/>
    <w:rsid w:val="008B0AF5"/>
    <w:rsid w:val="008B4ECE"/>
    <w:rsid w:val="008D2285"/>
    <w:rsid w:val="008E18A0"/>
    <w:rsid w:val="008E1C10"/>
    <w:rsid w:val="008E2D87"/>
    <w:rsid w:val="008E3D00"/>
    <w:rsid w:val="008F2798"/>
    <w:rsid w:val="008F3DF3"/>
    <w:rsid w:val="009001F1"/>
    <w:rsid w:val="00900615"/>
    <w:rsid w:val="0090399E"/>
    <w:rsid w:val="0091781E"/>
    <w:rsid w:val="009221DB"/>
    <w:rsid w:val="009401B1"/>
    <w:rsid w:val="0094416F"/>
    <w:rsid w:val="009557EF"/>
    <w:rsid w:val="00957B73"/>
    <w:rsid w:val="00963094"/>
    <w:rsid w:val="00963967"/>
    <w:rsid w:val="009671A6"/>
    <w:rsid w:val="00992F50"/>
    <w:rsid w:val="0099652D"/>
    <w:rsid w:val="009B3921"/>
    <w:rsid w:val="009C57DA"/>
    <w:rsid w:val="009E4102"/>
    <w:rsid w:val="009F1D25"/>
    <w:rsid w:val="009F480B"/>
    <w:rsid w:val="009F69EA"/>
    <w:rsid w:val="009F7D38"/>
    <w:rsid w:val="00A1021B"/>
    <w:rsid w:val="00A21CD7"/>
    <w:rsid w:val="00A27BF8"/>
    <w:rsid w:val="00A30728"/>
    <w:rsid w:val="00A30748"/>
    <w:rsid w:val="00A47430"/>
    <w:rsid w:val="00A75EAC"/>
    <w:rsid w:val="00A81F6A"/>
    <w:rsid w:val="00A95A5C"/>
    <w:rsid w:val="00A96C71"/>
    <w:rsid w:val="00AA18A0"/>
    <w:rsid w:val="00AA4043"/>
    <w:rsid w:val="00AA7C65"/>
    <w:rsid w:val="00AB6811"/>
    <w:rsid w:val="00AC0450"/>
    <w:rsid w:val="00AC58E0"/>
    <w:rsid w:val="00AD1FC8"/>
    <w:rsid w:val="00AD25CC"/>
    <w:rsid w:val="00AD7DAC"/>
    <w:rsid w:val="00AE54A4"/>
    <w:rsid w:val="00AF4026"/>
    <w:rsid w:val="00AF681B"/>
    <w:rsid w:val="00AF751B"/>
    <w:rsid w:val="00B11D99"/>
    <w:rsid w:val="00B141C8"/>
    <w:rsid w:val="00B163DD"/>
    <w:rsid w:val="00B35D56"/>
    <w:rsid w:val="00B36055"/>
    <w:rsid w:val="00B42543"/>
    <w:rsid w:val="00B42FC7"/>
    <w:rsid w:val="00B50148"/>
    <w:rsid w:val="00B51ED6"/>
    <w:rsid w:val="00B52093"/>
    <w:rsid w:val="00B56413"/>
    <w:rsid w:val="00B56553"/>
    <w:rsid w:val="00B62D46"/>
    <w:rsid w:val="00B671B8"/>
    <w:rsid w:val="00B7385D"/>
    <w:rsid w:val="00B7750D"/>
    <w:rsid w:val="00B81656"/>
    <w:rsid w:val="00B84B45"/>
    <w:rsid w:val="00B90ABB"/>
    <w:rsid w:val="00BA0A6C"/>
    <w:rsid w:val="00BA5C04"/>
    <w:rsid w:val="00BB4264"/>
    <w:rsid w:val="00BC07A5"/>
    <w:rsid w:val="00BC0FFE"/>
    <w:rsid w:val="00BC1248"/>
    <w:rsid w:val="00BC143B"/>
    <w:rsid w:val="00BC35A5"/>
    <w:rsid w:val="00BC73D9"/>
    <w:rsid w:val="00BC7954"/>
    <w:rsid w:val="00BD3980"/>
    <w:rsid w:val="00BD489D"/>
    <w:rsid w:val="00BF568C"/>
    <w:rsid w:val="00BF6447"/>
    <w:rsid w:val="00C00C07"/>
    <w:rsid w:val="00C02468"/>
    <w:rsid w:val="00C06D42"/>
    <w:rsid w:val="00C103EF"/>
    <w:rsid w:val="00C50842"/>
    <w:rsid w:val="00C63376"/>
    <w:rsid w:val="00C6575E"/>
    <w:rsid w:val="00C73A88"/>
    <w:rsid w:val="00C74546"/>
    <w:rsid w:val="00C91D71"/>
    <w:rsid w:val="00C93D7B"/>
    <w:rsid w:val="00C973BB"/>
    <w:rsid w:val="00C9772F"/>
    <w:rsid w:val="00CA148F"/>
    <w:rsid w:val="00CA656A"/>
    <w:rsid w:val="00CA6CDC"/>
    <w:rsid w:val="00CC0CAA"/>
    <w:rsid w:val="00CC41EC"/>
    <w:rsid w:val="00CC6518"/>
    <w:rsid w:val="00CC70FD"/>
    <w:rsid w:val="00CD2FA4"/>
    <w:rsid w:val="00CD6E89"/>
    <w:rsid w:val="00CE654F"/>
    <w:rsid w:val="00CF21EA"/>
    <w:rsid w:val="00D019D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52D7"/>
    <w:rsid w:val="00DD7EC2"/>
    <w:rsid w:val="00DE075A"/>
    <w:rsid w:val="00DE412B"/>
    <w:rsid w:val="00DE76B8"/>
    <w:rsid w:val="00E0571B"/>
    <w:rsid w:val="00E16213"/>
    <w:rsid w:val="00E203BE"/>
    <w:rsid w:val="00E4171A"/>
    <w:rsid w:val="00E53246"/>
    <w:rsid w:val="00E76CD2"/>
    <w:rsid w:val="00E826EE"/>
    <w:rsid w:val="00E87222"/>
    <w:rsid w:val="00E9232C"/>
    <w:rsid w:val="00E95E3D"/>
    <w:rsid w:val="00EC35FA"/>
    <w:rsid w:val="00EC6803"/>
    <w:rsid w:val="00EC7C83"/>
    <w:rsid w:val="00ED41E3"/>
    <w:rsid w:val="00ED6B44"/>
    <w:rsid w:val="00EF6AB0"/>
    <w:rsid w:val="00F013F2"/>
    <w:rsid w:val="00F03595"/>
    <w:rsid w:val="00F33348"/>
    <w:rsid w:val="00F60AEC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0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188D-1519-442B-86F5-CA1CDB3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24</Pages>
  <Words>7445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255</cp:revision>
  <cp:lastPrinted>2023-04-14T11:44:00Z</cp:lastPrinted>
  <dcterms:created xsi:type="dcterms:W3CDTF">2020-11-09T07:08:00Z</dcterms:created>
  <dcterms:modified xsi:type="dcterms:W3CDTF">2023-04-14T11:44:00Z</dcterms:modified>
</cp:coreProperties>
</file>