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–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146CD258" w:rsidR="005C7B25" w:rsidRDefault="008D22F6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1D53C7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811779" w:rsidRPr="00811779">
        <w:rPr>
          <w:rFonts w:ascii="Arial" w:hAnsi="Arial" w:cs="Arial"/>
          <w:sz w:val="21"/>
          <w:szCs w:val="21"/>
        </w:rPr>
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</w:r>
      <w:r w:rsidR="005C7B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="00811779">
        <w:rPr>
          <w:rFonts w:ascii="Arial" w:hAnsi="Arial" w:cs="Arial"/>
          <w:sz w:val="21"/>
          <w:szCs w:val="21"/>
        </w:rPr>
        <w:t xml:space="preserve">w celu zawarcia umowy ramowej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55312104" w:rsidR="00462D74" w:rsidRPr="009147D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3AD3075" w14:textId="77777777" w:rsidR="009147D9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DAEBFED" w14:textId="77777777" w:rsidR="009147D9" w:rsidRDefault="009147D9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5628FE40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5C7B2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E628" w14:textId="77777777" w:rsidR="00FA297D" w:rsidRDefault="00FA297D" w:rsidP="00EF45B6">
      <w:pPr>
        <w:spacing w:after="0" w:line="240" w:lineRule="auto"/>
      </w:pPr>
      <w:r>
        <w:separator/>
      </w:r>
    </w:p>
  </w:endnote>
  <w:endnote w:type="continuationSeparator" w:id="0">
    <w:p w14:paraId="2BE12459" w14:textId="77777777" w:rsidR="00FA297D" w:rsidRDefault="00FA297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17BE" w14:textId="77777777" w:rsidR="00FA297D" w:rsidRDefault="00FA297D" w:rsidP="00EF45B6">
      <w:pPr>
        <w:spacing w:after="0" w:line="240" w:lineRule="auto"/>
      </w:pPr>
      <w:r>
        <w:separator/>
      </w:r>
    </w:p>
  </w:footnote>
  <w:footnote w:type="continuationSeparator" w:id="0">
    <w:p w14:paraId="134BE1E7" w14:textId="77777777" w:rsidR="00FA297D" w:rsidRDefault="00FA297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177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22F6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45E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89D"/>
    <w:rsid w:val="00F90528"/>
    <w:rsid w:val="00FA22ED"/>
    <w:rsid w:val="00FA297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1D00-692D-4BDA-935F-32261AD4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3</cp:revision>
  <dcterms:created xsi:type="dcterms:W3CDTF">2023-02-23T08:32:00Z</dcterms:created>
  <dcterms:modified xsi:type="dcterms:W3CDTF">2023-02-23T08:34:00Z</dcterms:modified>
</cp:coreProperties>
</file>