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9DB3539" w:rsidR="00303AAF" w:rsidRPr="005D6B1B" w:rsidRDefault="0060033D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40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AAC982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0033D">
        <w:rPr>
          <w:rFonts w:asciiTheme="majorHAnsi" w:eastAsia="Times New Roman" w:hAnsiTheme="majorHAnsi" w:cstheme="majorHAnsi"/>
          <w:color w:val="auto"/>
          <w:sz w:val="22"/>
          <w:szCs w:val="22"/>
        </w:rPr>
        <w:t>40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56AE51" w14:textId="0B2E7C23" w:rsidR="0060033D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15CF0A2" w14:textId="411FF64D" w:rsidR="0060033D" w:rsidRDefault="0060033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2F3297F8" w14:textId="77777777" w:rsidR="0060033D" w:rsidRDefault="0060033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EEF1A1 Polyclonal Antibody,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, 150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μL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 (11402-1-AP) -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C439339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773F5CD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6A9C2AB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75AE704" w14:textId="77777777" w:rsidR="0060033D" w:rsidRDefault="0060033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238CF27" w14:textId="42FCCD40" w:rsidR="0060033D" w:rsidRDefault="0060033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Przeciwciało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poliklonalne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 EEF1A2,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Proteintech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 xml:space="preserve">, 150 µl (16091-1-AP) - </w:t>
      </w:r>
      <w:proofErr w:type="spellStart"/>
      <w:r w:rsidRPr="0060033D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60033D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511CC546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7C8E63F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35D43B" w14:textId="77777777" w:rsidR="0060033D" w:rsidRPr="0060033D" w:rsidRDefault="0060033D" w:rsidP="006003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60033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E0A9A68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D282D1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35F94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0033D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0E290" w14:textId="77777777" w:rsidR="00DF17FA" w:rsidRDefault="00DF17FA">
      <w:r>
        <w:separator/>
      </w:r>
    </w:p>
  </w:endnote>
  <w:endnote w:type="continuationSeparator" w:id="0">
    <w:p w14:paraId="5426EB8F" w14:textId="77777777" w:rsidR="00DF17FA" w:rsidRDefault="00DF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84A9E" w14:textId="77777777" w:rsidR="00DF17FA" w:rsidRDefault="00DF17FA">
      <w:r>
        <w:separator/>
      </w:r>
    </w:p>
  </w:footnote>
  <w:footnote w:type="continuationSeparator" w:id="0">
    <w:p w14:paraId="3394F77D" w14:textId="77777777" w:rsidR="00DF17FA" w:rsidRDefault="00DF17F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17FA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2024-09-12T14:02:00Z</dcterms:created>
  <dcterms:modified xsi:type="dcterms:W3CDTF">2024-09-12T14:02:00Z</dcterms:modified>
</cp:coreProperties>
</file>