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77777777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>
        <w:rPr>
          <w:rFonts w:asciiTheme="minorHAnsi" w:hAnsiTheme="minorHAnsi" w:cstheme="minorHAnsi"/>
          <w:b/>
          <w:bCs/>
          <w:sz w:val="20"/>
          <w:szCs w:val="20"/>
        </w:rPr>
        <w:t>IZP.270.52.2021</w:t>
      </w: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4C977D4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2BCC6100" w:rsidR="00962F33" w:rsidRDefault="00836EFC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Otwock, 28</w:t>
      </w:r>
      <w:r w:rsidR="001840A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746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>.2021 r.</w:t>
      </w:r>
    </w:p>
    <w:p w14:paraId="5AB215DD" w14:textId="6ABAAD7A" w:rsidR="00515859" w:rsidRDefault="00515859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 zmianie z dnia 29.10.2021r.</w:t>
      </w:r>
    </w:p>
    <w:p w14:paraId="26B512BA" w14:textId="4744E7BE" w:rsidR="00515859" w:rsidRDefault="00515859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7B46C8" w14:textId="77777777" w:rsidR="00515859" w:rsidRPr="008D4F73" w:rsidRDefault="00515859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3990FE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C4DD3" w14:textId="343DA163" w:rsidR="00962F33" w:rsidRDefault="00962F33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51414" w14:textId="77777777" w:rsidR="00515859" w:rsidRDefault="00515859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5C23A57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451FA2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DB565A" w14:textId="77777777" w:rsidR="00E725EE" w:rsidRPr="008D4F73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CA5FF" w14:textId="77777777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77777777" w:rsidR="00962F33" w:rsidRPr="008D4F7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4C1306BA" w14:textId="77777777" w:rsidR="00962F33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 xml:space="preserve">Formularz 2.2. „Kryteria </w:t>
      </w:r>
      <w:proofErr w:type="spellStart"/>
      <w:r w:rsidRPr="008C6140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8C6140">
        <w:rPr>
          <w:rFonts w:asciiTheme="minorHAnsi" w:hAnsiTheme="minorHAnsi" w:cstheme="minorHAnsi"/>
          <w:sz w:val="20"/>
          <w:szCs w:val="20"/>
        </w:rPr>
        <w:t>”</w:t>
      </w:r>
    </w:p>
    <w:p w14:paraId="10F5ED7B" w14:textId="77777777" w:rsidR="00962F33" w:rsidRPr="008C6140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2.3    Wykaz parametrów technicznych</w:t>
      </w:r>
    </w:p>
    <w:p w14:paraId="45A44E57" w14:textId="77777777" w:rsidR="00962F33" w:rsidRPr="008D4F73" w:rsidRDefault="00962F33" w:rsidP="00962F33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4B5E4475" w14:textId="77777777" w:rsidR="00962F33" w:rsidRPr="008D4F7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7BB59F4E" w14:textId="77777777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  <w:r w:rsidRPr="00BB0200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F059E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01AD78A3" w14:textId="77777777" w:rsidR="00962F33" w:rsidRPr="000768BA" w:rsidRDefault="00962F33" w:rsidP="00962F33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77777777" w:rsidR="00962F33" w:rsidRPr="00665EBD" w:rsidRDefault="00962F33" w:rsidP="00962F33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665EBD">
        <w:rPr>
          <w:rFonts w:asciiTheme="minorHAnsi" w:hAnsiTheme="minorHAnsi" w:cstheme="minorHAnsi"/>
          <w:sz w:val="20"/>
          <w:szCs w:val="20"/>
          <w:lang w:val="en-GB"/>
        </w:rPr>
        <w:t>tel. + 48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77777777" w:rsidR="00962F33" w:rsidRPr="000B3C42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„Utworzenie Centrum informacyjno-wdrożeniowego przemysłowych technik radiacyjnych  </w:t>
      </w:r>
      <w:proofErr w:type="spell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CentriX</w:t>
      </w:r>
      <w:proofErr w:type="spellEnd"/>
      <w:r w:rsidRPr="000B3C42">
        <w:rPr>
          <w:rFonts w:asciiTheme="minorHAnsi" w:hAnsiTheme="minorHAnsi" w:cstheme="minorHAnsi"/>
          <w:b/>
          <w:bCs/>
          <w:sz w:val="20"/>
          <w:szCs w:val="20"/>
        </w:rPr>
        <w:t>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3FA14EE" w14:textId="77777777" w:rsidR="00962F33" w:rsidRPr="008D4F73" w:rsidRDefault="00962F33" w:rsidP="00962F33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C01BE7C" w14:textId="77777777" w:rsidR="00962F33" w:rsidRPr="00DA7D20" w:rsidRDefault="00962F33" w:rsidP="00962F33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Dostawa</w:t>
      </w:r>
      <w:r w:rsidRPr="000B3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falowodów do zasilenia struktury akceleracyjnej w </w:t>
      </w:r>
      <w:r w:rsidRPr="00DA7D20">
        <w:rPr>
          <w:rFonts w:asciiTheme="minorHAnsi" w:hAnsiTheme="minorHAnsi" w:cstheme="minorHAnsi"/>
          <w:b/>
          <w:bCs/>
          <w:sz w:val="20"/>
          <w:szCs w:val="20"/>
        </w:rPr>
        <w:t>docelowej lokalizacji.</w:t>
      </w:r>
    </w:p>
    <w:p w14:paraId="68997E20" w14:textId="2A2600F2" w:rsidR="00DA7D20" w:rsidRDefault="00962F33" w:rsidP="00DA7D20">
      <w:pPr>
        <w:pStyle w:val="Zwykytekst"/>
        <w:jc w:val="both"/>
        <w:rPr>
          <w:sz w:val="22"/>
          <w:szCs w:val="21"/>
        </w:rPr>
      </w:pPr>
      <w:r w:rsidRPr="00DA7D20">
        <w:rPr>
          <w:rFonts w:asciiTheme="minorHAnsi" w:hAnsiTheme="minorHAnsi" w:cstheme="minorHAnsi"/>
          <w:u w:val="single"/>
        </w:rPr>
        <w:t>Nie dokonano podziału zamówienia na części z powodu:</w:t>
      </w:r>
      <w:r w:rsidRPr="00DA7D20">
        <w:rPr>
          <w:rFonts w:asciiTheme="minorHAnsi" w:hAnsiTheme="minorHAnsi" w:cstheme="minorHAnsi"/>
        </w:rPr>
        <w:t xml:space="preserve"> </w:t>
      </w:r>
      <w:r w:rsidR="00DA7D20" w:rsidRPr="00DA7D20">
        <w:rPr>
          <w:rFonts w:asciiTheme="minorHAnsi" w:hAnsiTheme="minorHAnsi" w:cstheme="minorHAnsi"/>
          <w:i/>
          <w:iCs/>
        </w:rPr>
        <w:t xml:space="preserve"> </w:t>
      </w:r>
      <w:r w:rsidR="00DA7D20" w:rsidRPr="00DA7D20">
        <w:rPr>
          <w:rFonts w:asciiTheme="minorHAnsi" w:hAnsiTheme="minorHAnsi" w:cstheme="minorHAnsi"/>
          <w:iCs/>
        </w:rPr>
        <w:t>Przedmiotem zamówienia jest komplet</w:t>
      </w:r>
      <w:r w:rsidR="00DA7D20" w:rsidRPr="00DA7D20">
        <w:rPr>
          <w:rFonts w:asciiTheme="minorHAnsi" w:hAnsiTheme="minorHAnsi" w:cstheme="minorHAnsi"/>
          <w:i/>
          <w:iCs/>
        </w:rPr>
        <w:t xml:space="preserve"> </w:t>
      </w:r>
      <w:r w:rsidR="00DA7D20" w:rsidRPr="00DA7D20">
        <w:rPr>
          <w:rFonts w:asciiTheme="minorHAnsi" w:hAnsiTheme="minorHAnsi" w:cstheme="minorHAnsi"/>
        </w:rPr>
        <w:t xml:space="preserve">falowodów tworzących ciąg rurowy do przesyłania mocy mikrofalowej od źródła do odbiornika. Lista elementów tworzy jeden zestaw umożliwiający połączenie klistronu (źródła mocy mikrofalowej) w pomieszczeniu klistronów </w:t>
      </w:r>
      <w:r w:rsidR="00DA7D20">
        <w:rPr>
          <w:rFonts w:asciiTheme="minorHAnsi" w:hAnsiTheme="minorHAnsi" w:cstheme="minorHAnsi"/>
        </w:rPr>
        <w:t xml:space="preserve">                </w:t>
      </w:r>
      <w:r w:rsidR="00DA7D20" w:rsidRPr="00DA7D20">
        <w:rPr>
          <w:rFonts w:asciiTheme="minorHAnsi" w:hAnsiTheme="minorHAnsi" w:cstheme="minorHAnsi"/>
        </w:rPr>
        <w:t>w budynku 81 poprzez cyrkulator mikrofalowy (element zabezpieczający) następnie kolejne falowody przechodzą przez przepusty technologiczne, schodzą do podziemia (bunkra) gdzie łączą się z dzielnikiem mocy oraz przesuwnikiem fazy i z tego miejsca idą do struktury akceleracyjnej.</w:t>
      </w:r>
      <w:r w:rsidR="00DA7D20">
        <w:rPr>
          <w:rFonts w:asciiTheme="minorHAnsi" w:hAnsiTheme="minorHAnsi" w:cstheme="minorHAnsi"/>
        </w:rPr>
        <w:t xml:space="preserve"> W związku z tym przedmiot zamówienia jest niepodzielny.</w:t>
      </w:r>
    </w:p>
    <w:p w14:paraId="79F57495" w14:textId="58D0A1E0" w:rsidR="00962F33" w:rsidRPr="00972DB1" w:rsidRDefault="00962F33" w:rsidP="00962F33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8D4F7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77777777" w:rsidR="00962F3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31711422-7 – Urządzenia mikrofalowe</w:t>
      </w:r>
    </w:p>
    <w:p w14:paraId="01B973F1" w14:textId="77777777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77777777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Szczegółowo przedmiot zamó</w:t>
      </w:r>
      <w:r>
        <w:rPr>
          <w:rFonts w:asciiTheme="minorHAnsi" w:hAnsiTheme="minorHAnsi" w:cstheme="minorHAnsi"/>
          <w:sz w:val="20"/>
          <w:szCs w:val="20"/>
        </w:rPr>
        <w:t xml:space="preserve">wienia opisany został w Tomie </w:t>
      </w:r>
      <w:r w:rsidRPr="00985118">
        <w:rPr>
          <w:rFonts w:asciiTheme="minorHAnsi" w:hAnsiTheme="minorHAnsi" w:cstheme="minorHAnsi"/>
          <w:sz w:val="20"/>
          <w:szCs w:val="20"/>
        </w:rPr>
        <w:t>III</w:t>
      </w:r>
      <w:r w:rsidRPr="008D4F73">
        <w:rPr>
          <w:rFonts w:asciiTheme="minorHAnsi" w:hAnsiTheme="minorHAnsi" w:cstheme="minorHAnsi"/>
          <w:sz w:val="20"/>
          <w:szCs w:val="20"/>
        </w:rPr>
        <w:t xml:space="preserve"> SWZ.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</w:p>
    <w:p w14:paraId="4B32A326" w14:textId="77777777" w:rsidR="00962F33" w:rsidRDefault="00962F33" w:rsidP="00962F33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A91B86">
        <w:rPr>
          <w:rFonts w:ascii="Calibri" w:hAnsi="Calibri" w:cs="Calibri"/>
          <w:sz w:val="20"/>
          <w:szCs w:val="20"/>
        </w:rPr>
        <w:t>Zamawiający dopuszcza rozwiązania równoważne do wskazanych w opisie przedmiotu zamówienia, a wskazania sugerujące konkretny wyrób lub producenta służą do określenia klasy i jakości wyrobu, nie stanowią jednakże wskazania na konkretny wyrób. Zamawiający dopuszcza produkty równoważne spełniające opisane parametry lub posiadające wyższe.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55D131A8" w14:textId="77777777" w:rsidR="00962F33" w:rsidRPr="00535618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09FA43F7" w:rsidR="00962F33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Termin realizacji zamówienia: </w:t>
      </w:r>
      <w:r w:rsidR="00E01EF9" w:rsidRPr="00B95481">
        <w:rPr>
          <w:rFonts w:asciiTheme="minorHAnsi" w:hAnsiTheme="minorHAnsi" w:cstheme="minorHAnsi"/>
          <w:bCs w:val="0"/>
          <w:sz w:val="20"/>
          <w:szCs w:val="20"/>
        </w:rPr>
        <w:t>do</w:t>
      </w:r>
      <w:r w:rsidR="00E01EF9" w:rsidRPr="00B9548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Cs w:val="0"/>
          <w:sz w:val="20"/>
          <w:szCs w:val="20"/>
        </w:rPr>
        <w:t>10 tygodni</w:t>
      </w:r>
      <w:r w:rsidR="00E01EF9" w:rsidRPr="00985118">
        <w:rPr>
          <w:rFonts w:asciiTheme="minorHAnsi" w:hAnsiTheme="minorHAnsi" w:cstheme="minorHAnsi"/>
          <w:bCs w:val="0"/>
          <w:sz w:val="20"/>
          <w:szCs w:val="20"/>
        </w:rPr>
        <w:t xml:space="preserve"> od daty zawarcia umowy</w:t>
      </w:r>
      <w:r w:rsidR="00E01EF9">
        <w:rPr>
          <w:rFonts w:asciiTheme="minorHAnsi" w:hAnsiTheme="minorHAnsi" w:cstheme="minorHAnsi"/>
          <w:bCs w:val="0"/>
          <w:sz w:val="20"/>
          <w:szCs w:val="20"/>
        </w:rPr>
        <w:t xml:space="preserve"> lecz nie później niż do 31.12.2021r. ze względu na kończący się termin realizacji projektu.</w:t>
      </w:r>
    </w:p>
    <w:p w14:paraId="11E54711" w14:textId="7777777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24 miesiące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BC5437">
        <w:rPr>
          <w:rFonts w:asciiTheme="minorHAnsi" w:hAnsiTheme="minorHAnsi" w:cstheme="minorHAnsi"/>
          <w:b w:val="0"/>
          <w:i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25BEB334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1FED8B70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77777777" w:rsidR="00962F33" w:rsidRPr="008D4F73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w  art. 111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590E72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81692A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75063B62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B21097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4A64A80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język polski </w:t>
      </w:r>
      <w:r w:rsidR="00E01EF9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77777777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04E682FB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9" w:history="1">
        <w:r w:rsidR="00BF4DDB" w:rsidRPr="00B309B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</w:p>
    <w:p w14:paraId="02F84B3A" w14:textId="53F756A9" w:rsidR="00BF4DDB" w:rsidRPr="00BF4DDB" w:rsidRDefault="00BF4DDB" w:rsidP="00BF4DD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Zamawiający dopuszcza możliwość złożenia poszczególnych dokumentów w języku angielskim w zakresie, których udostępniono ich dwujęzyczną wersję.</w:t>
      </w:r>
    </w:p>
    <w:p w14:paraId="62A97562" w14:textId="26345CF8" w:rsidR="00BF4DDB" w:rsidRPr="008D4F73" w:rsidRDefault="00962F33" w:rsidP="00BF4DD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Annę Dąbrowską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4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17682578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2EDEB41F" w14:textId="77777777" w:rsidR="00962F33" w:rsidRPr="00985689" w:rsidRDefault="00962F33" w:rsidP="003B24E8">
      <w:pPr>
        <w:pStyle w:val="Tekstpodstawowy2"/>
        <w:numPr>
          <w:ilvl w:val="0"/>
          <w:numId w:val="12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”,</w:t>
      </w:r>
    </w:p>
    <w:p w14:paraId="30B0C49B" w14:textId="77777777" w:rsidR="00962F33" w:rsidRPr="00985689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technicznych”.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23287896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2A6C5BE" w14:textId="77777777" w:rsidR="00962F33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 </w:t>
      </w:r>
    </w:p>
    <w:p w14:paraId="32FCED28" w14:textId="77777777" w:rsidR="00962F33" w:rsidRPr="00916F71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C22D6EC" w14:textId="77777777" w:rsidR="00962F33" w:rsidRPr="008D4F73" w:rsidRDefault="00962F33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F9BE8D6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2B403010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Formularz 2.3 IDW - Wykaz parametrów technicznych. </w:t>
      </w:r>
    </w:p>
    <w:p w14:paraId="588092E1" w14:textId="77777777" w:rsidR="00962F33" w:rsidRPr="002D749D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78EDE5A8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59905A56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11E67C46" w14:textId="4A307898" w:rsidR="00962F33" w:rsidRPr="00C328B0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 podstawie art</w:t>
      </w:r>
      <w:r w:rsidR="00536B03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. 2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0 ust. 3 ustawy </w:t>
      </w:r>
      <w:proofErr w:type="spellStart"/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Zamawiający dopuszcza możliwość złożenia oferty, oświadczeń lub innych dokumentów w języku powszechnie używanym w handlu międzynarodowym – języku angielskim.</w:t>
      </w:r>
    </w:p>
    <w:p w14:paraId="523A338A" w14:textId="6443877A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</w:t>
      </w:r>
      <w:r w:rsidRPr="00C328B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lub inne dokumenty lub oświadczenia sporządzone w języku 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polskim lub języku angielskim.</w:t>
      </w:r>
    </w:p>
    <w:p w14:paraId="1DD8121F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7DA82C9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065A79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06DB550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75A9DAE" w14:textId="23C386DC" w:rsidR="00962F33" w:rsidRPr="00C328B0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1F196563" w14:textId="37AC42AD" w:rsidR="005F3304" w:rsidRPr="00C328B0" w:rsidRDefault="005F3304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</w:t>
      </w:r>
      <w:r w:rsidR="00BF4DDB" w:rsidRPr="00C328B0">
        <w:rPr>
          <w:rFonts w:asciiTheme="minorHAnsi" w:hAnsiTheme="minorHAnsi" w:cstheme="minorHAnsi"/>
          <w:b w:val="0"/>
          <w:sz w:val="20"/>
          <w:szCs w:val="20"/>
        </w:rPr>
        <w:t>ceny w Formularzu cenowym) w walucie innej niż PLN.</w:t>
      </w:r>
    </w:p>
    <w:p w14:paraId="6686C900" w14:textId="542E0ECD" w:rsidR="00BF4DDB" w:rsidRPr="008D4F73" w:rsidRDefault="00BF4DDB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2A4A721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C0B5E3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840A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1840A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1840AF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E01EF9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1840AF" w:rsidRPr="001840AF">
        <w:rPr>
          <w:rFonts w:asciiTheme="minorHAnsi" w:hAnsiTheme="minorHAnsi" w:cstheme="minorHAnsi"/>
          <w:b/>
          <w:bCs/>
          <w:sz w:val="20"/>
          <w:szCs w:val="20"/>
        </w:rPr>
        <w:t>.11.2021r.</w:t>
      </w:r>
      <w:r w:rsidRPr="001840AF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10:00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CB30A6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5B21ACC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1840AF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Pr="001840A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/>
          <w:spacing w:val="4"/>
          <w:sz w:val="20"/>
          <w:szCs w:val="20"/>
        </w:rPr>
        <w:t>08</w:t>
      </w:r>
      <w:r w:rsidR="001840AF" w:rsidRPr="001840AF">
        <w:rPr>
          <w:rFonts w:asciiTheme="minorHAnsi" w:hAnsiTheme="minorHAnsi" w:cstheme="minorHAnsi"/>
          <w:b/>
          <w:spacing w:val="4"/>
          <w:sz w:val="20"/>
          <w:szCs w:val="20"/>
        </w:rPr>
        <w:t>.11.2021r.</w:t>
      </w:r>
      <w:r w:rsidRPr="001840A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840AF">
        <w:rPr>
          <w:rFonts w:asciiTheme="minorHAnsi" w:hAnsiTheme="minorHAnsi" w:cstheme="minorHAnsi"/>
          <w:b/>
          <w:spacing w:val="4"/>
          <w:sz w:val="20"/>
          <w:szCs w:val="20"/>
        </w:rPr>
        <w:t>o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11:0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7F372E3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 07</w:t>
      </w:r>
      <w:r w:rsidR="001840A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.12.2021r.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14:paraId="2A4113D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CFF3551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Termin realizacji   – 10 %     =   10 pkt.</w:t>
      </w:r>
    </w:p>
    <w:p w14:paraId="65AD666D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1056E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3149FD24" w14:textId="77777777" w:rsidR="00962F33" w:rsidRPr="00551D24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551D24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terminu realizacji 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u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7E81200C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962F33" w:rsidRPr="00236058" w14:paraId="464995C5" w14:textId="77777777" w:rsidTr="0006291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9F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termin realizacji – w dniach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4F1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962F33" w:rsidRPr="00236058" w14:paraId="0313E55A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6B4" w14:textId="52F799F4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="00E725E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C96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0pkt</w:t>
            </w:r>
          </w:p>
        </w:tc>
      </w:tr>
      <w:tr w:rsidR="00962F33" w:rsidRPr="00236058" w14:paraId="216AAA53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EBD" w14:textId="6D608E2C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do 9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67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  <w:tr w:rsidR="00962F33" w:rsidRPr="00236058" w14:paraId="6C241E00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7E1" w14:textId="24258DAB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poniżej 8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F4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pkt</w:t>
            </w:r>
          </w:p>
        </w:tc>
      </w:tr>
    </w:tbl>
    <w:p w14:paraId="409FE5D4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77777777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77777777" w:rsidR="00962F33" w:rsidRPr="008D4F7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F72C2B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0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F9B128A" w14:textId="77777777" w:rsidR="00962F33" w:rsidRPr="0047531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77777777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BD215C5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IZP.270.52.2021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B3E8BA4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97FF7CE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9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208BBC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0B00D9CA" w14:textId="02EDAFAA" w:rsidR="00962F33" w:rsidRPr="006D12F8" w:rsidRDefault="00962F33" w:rsidP="003437F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D4C7E">
        <w:rPr>
          <w:rFonts w:asciiTheme="minorHAnsi" w:hAnsiTheme="minorHAnsi" w:cstheme="minorHAnsi"/>
          <w:b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1339BD6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9746D">
        <w:rPr>
          <w:rFonts w:asciiTheme="minorHAnsi" w:hAnsiTheme="minorHAnsi" w:cstheme="minorHAnsi"/>
          <w:b/>
          <w:i/>
          <w:sz w:val="20"/>
          <w:szCs w:val="20"/>
        </w:rPr>
        <w:t>do …………… tygodni.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20B305" w14:textId="77777777" w:rsidR="00962F33" w:rsidRPr="00FA374A" w:rsidRDefault="00962F33" w:rsidP="00962F33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54620835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C80A41A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E2458C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736DBFBF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4FE1C2FA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2301D5FA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187A938A" w14:textId="77777777" w:rsidR="00962F33" w:rsidRDefault="00962F33" w:rsidP="00962F33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52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317AE60E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62F33" w:rsidRPr="00FA374A" w14:paraId="73082655" w14:textId="77777777" w:rsidTr="0006291F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2D8878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57D3CA63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962F33" w:rsidRPr="00FA374A" w14:paraId="3FB65C2F" w14:textId="77777777" w:rsidTr="0006291F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AB37A13" w14:textId="77777777" w:rsidR="00962F33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725EF3A8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Termin realizacji (</w:t>
            </w:r>
            <w:r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maksymalna liczba punktów - 10)</w:t>
            </w:r>
          </w:p>
        </w:tc>
      </w:tr>
      <w:tr w:rsidR="00962F33" w:rsidRPr="00FA374A" w14:paraId="7347E651" w14:textId="77777777" w:rsidTr="0006291F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1FB3D22" w14:textId="77777777" w:rsidR="00962F33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E6514D3" w14:textId="77777777" w:rsidR="00962F33" w:rsidRPr="00EF7F62" w:rsidRDefault="00E725EE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a) termin realizacji do ………… tygodni</w:t>
            </w:r>
            <w:r w:rsidR="00962F33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od daty zawarcia umowy</w:t>
            </w:r>
          </w:p>
          <w:p w14:paraId="76DCA376" w14:textId="77777777" w:rsidR="00962F33" w:rsidRPr="00FA374A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977EAA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58716A5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208B65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62F33" w:rsidRPr="00FA374A" w14:paraId="6E81CF30" w14:textId="77777777" w:rsidTr="0006291F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285BB2E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60EB1CF6" w14:textId="48D937F4" w:rsidR="00962F33" w:rsidRPr="007B41E8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przypadku braku wskazania terminu realizacji Zamawiający uzna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iż wykonawca złożył ofert</w:t>
            </w:r>
            <w:r w:rsidR="00567B77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ę na okres podstawowy, tj. do 10</w:t>
            </w:r>
            <w:r w:rsidR="00E725EE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tygodni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od daty zawarcia umowy.</w:t>
            </w:r>
          </w:p>
          <w:p w14:paraId="36C2E96D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04F6676B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BEA1476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5E1FF39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0AD0EA76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BBF54FC" w14:textId="77777777" w:rsidR="00962F33" w:rsidRPr="00FA374A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462C1027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748262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7BAB7C0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1282BE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28E6A7" w14:textId="77777777" w:rsidR="00962F33" w:rsidRDefault="00962F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00EBD631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0525752E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090D1764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6471B36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7284B4AB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 xml:space="preserve"> </w:t>
      </w:r>
      <w:r w:rsidRPr="00AC401B">
        <w:rPr>
          <w:rFonts w:asciiTheme="minorHAnsi" w:hAnsiTheme="minorHAnsi" w:cstheme="minorHAnsi"/>
          <w:b/>
          <w:bCs/>
          <w:sz w:val="22"/>
          <w:szCs w:val="22"/>
        </w:rPr>
        <w:t>Dostawa falowodów do zasilenia struktury akceleracyjnej w docelowej lokalizacji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813FE07" w14:textId="77777777" w:rsidR="00962F33" w:rsidRPr="003B4FA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2054C4D" w14:textId="77777777" w:rsidR="00962F33" w:rsidRPr="003B4FAE" w:rsidRDefault="00962F33" w:rsidP="00962F33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>
        <w:rPr>
          <w:rFonts w:asciiTheme="minorHAnsi" w:hAnsiTheme="minorHAnsi" w:cstheme="minorHAnsi"/>
          <w:b/>
          <w:bCs/>
        </w:rPr>
        <w:t xml:space="preserve"> IZP.270.52</w:t>
      </w:r>
      <w:r w:rsidRPr="003B4FAE">
        <w:rPr>
          <w:rFonts w:asciiTheme="minorHAnsi" w:hAnsiTheme="minorHAnsi" w:cstheme="minorHAnsi"/>
          <w:b/>
          <w:bCs/>
        </w:rPr>
        <w:t xml:space="preserve">.2021 </w:t>
      </w:r>
    </w:p>
    <w:p w14:paraId="004D062F" w14:textId="77777777" w:rsidR="00962F33" w:rsidRDefault="00962F33" w:rsidP="00962F33">
      <w:pPr>
        <w:pStyle w:val="Akapitzlist"/>
        <w:spacing w:after="160" w:line="259" w:lineRule="auto"/>
        <w:contextualSpacing/>
        <w:rPr>
          <w:rFonts w:asciiTheme="minorHAnsi" w:hAnsiTheme="minorHAnsi" w:cstheme="minorHAnsi"/>
          <w:noProof/>
          <w:u w:val="single"/>
        </w:rPr>
      </w:pPr>
    </w:p>
    <w:p w14:paraId="25F2F53E" w14:textId="77777777" w:rsidR="00962F33" w:rsidRPr="0079387D" w:rsidRDefault="00962F33" w:rsidP="003B24E8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79387D">
        <w:rPr>
          <w:rFonts w:asciiTheme="minorHAnsi" w:hAnsiTheme="minorHAnsi" w:cstheme="minorHAnsi"/>
          <w:noProof/>
          <w:sz w:val="24"/>
          <w:szCs w:val="24"/>
        </w:rPr>
        <w:t>L = 100, ilość = 6</w:t>
      </w:r>
    </w:p>
    <w:tbl>
      <w:tblPr>
        <w:tblW w:w="7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268"/>
        <w:gridCol w:w="2268"/>
      </w:tblGrid>
      <w:tr w:rsidR="00962F33" w:rsidRPr="00665EBD" w14:paraId="2FA76183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FE4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6A49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AD411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A80A7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716DA60F" w14:textId="77777777" w:rsidTr="0006291F">
        <w:trPr>
          <w:trHeight w:val="121"/>
          <w:jc w:val="center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AFB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A787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7C023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B499D6D" w14:textId="77777777" w:rsidTr="0006291F">
        <w:trPr>
          <w:trHeight w:val="120"/>
          <w:jc w:val="center"/>
        </w:trPr>
        <w:tc>
          <w:tcPr>
            <w:tcW w:w="25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827D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2C4C3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432E0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F642FDF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B76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7A4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BC3C5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7BBAF6E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C7F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24FD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E1E4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D708986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68D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60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1,452 kg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461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02D4588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9BFE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52F9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DFCFA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3E2D876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376B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7C28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FDEFB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41D1707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068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3275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8FF7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C729E9F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341F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1552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CD062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B9BF325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579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C123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B4793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6AC6070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D86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A2BA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A99B0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BE06305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71D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7438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7764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4394A1" w14:textId="77777777" w:rsidR="00962F33" w:rsidRPr="0079387D" w:rsidRDefault="00962F33" w:rsidP="00962F33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9A7DA" w14:textId="77777777" w:rsidR="00962F33" w:rsidRPr="0079387D" w:rsidRDefault="00962F33" w:rsidP="003B24E8">
      <w:pPr>
        <w:pStyle w:val="Zwykytekst1"/>
        <w:numPr>
          <w:ilvl w:val="0"/>
          <w:numId w:val="23"/>
        </w:num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387D">
        <w:rPr>
          <w:rFonts w:asciiTheme="minorHAnsi" w:hAnsiTheme="minorHAnsi" w:cstheme="minorHAnsi"/>
          <w:bCs/>
          <w:sz w:val="24"/>
          <w:szCs w:val="24"/>
        </w:rPr>
        <w:t>L = 150, ilość = 3</w:t>
      </w:r>
    </w:p>
    <w:tbl>
      <w:tblPr>
        <w:tblW w:w="7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2289"/>
        <w:gridCol w:w="2268"/>
      </w:tblGrid>
      <w:tr w:rsidR="00962F33" w:rsidRPr="0079387D" w14:paraId="248870D7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4FC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E9A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D966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801A9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79387D" w14:paraId="5E0A8511" w14:textId="77777777" w:rsidTr="0006291F">
        <w:trPr>
          <w:trHeight w:val="121"/>
          <w:jc w:val="center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01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115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90B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7E8008E" w14:textId="77777777" w:rsidTr="0006291F">
        <w:trPr>
          <w:trHeight w:val="120"/>
          <w:jc w:val="center"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C97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065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EF41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49DB01B5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49B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9EC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6AD8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A7E9701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06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865F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BF1F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543CEFB5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805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CA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1,7 kg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328B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B69485B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D1B0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D2C1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8188C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7A8368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B3E3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6C37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46D7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062837B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A7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lastRenderedPageBreak/>
              <w:t xml:space="preserve">Moc szczytowa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B99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BDCC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CE9AA7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EBD0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5542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49D12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5169A4C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AD9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A28B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38D5A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058CBC0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9E8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6071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8A2FC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0D86094F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5D64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9A9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BAE2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1FD312" w14:textId="77777777" w:rsidR="00962F33" w:rsidRPr="0079387D" w:rsidRDefault="00962F33" w:rsidP="00962F33">
      <w:pPr>
        <w:pStyle w:val="Zwykytekst1"/>
        <w:spacing w:before="120" w:after="12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1F13C4B" w14:textId="77777777" w:rsidR="00962F33" w:rsidRPr="0079387D" w:rsidRDefault="00962F33" w:rsidP="003B24E8">
      <w:pPr>
        <w:pStyle w:val="Zwykytekst1"/>
        <w:numPr>
          <w:ilvl w:val="0"/>
          <w:numId w:val="23"/>
        </w:num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387D">
        <w:rPr>
          <w:rFonts w:asciiTheme="minorHAnsi" w:hAnsiTheme="minorHAnsi" w:cstheme="minorHAnsi"/>
          <w:bCs/>
          <w:sz w:val="24"/>
          <w:szCs w:val="24"/>
        </w:rPr>
        <w:t>L = 200, ilość = 9</w:t>
      </w:r>
    </w:p>
    <w:tbl>
      <w:tblPr>
        <w:tblW w:w="7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86"/>
        <w:gridCol w:w="2231"/>
      </w:tblGrid>
      <w:tr w:rsidR="00962F33" w:rsidRPr="0079387D" w14:paraId="5FDADBAC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284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BA0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734CA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4F64C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3CC95FE4" w14:textId="77777777" w:rsidTr="0006291F">
        <w:trPr>
          <w:trHeight w:val="121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F2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09515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44284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90229BC" w14:textId="77777777" w:rsidTr="0006291F">
        <w:trPr>
          <w:trHeight w:val="120"/>
          <w:jc w:val="center"/>
        </w:trPr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8798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E9CE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6E73F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B063A4C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6E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EDF8E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3378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5875F0E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994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CFD7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36DC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B378321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E47" w14:textId="77777777" w:rsidR="00962F33" w:rsidRPr="00665EB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5EB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CBE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 kg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E8B6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ED284DA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5B1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A1E0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E0E9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A6F21B7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A2C6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437E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19F0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D1D0030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569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F313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403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36E3D6D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E28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ABAD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CDCE4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B4A12F4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3FB7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3FD0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5F2CE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230ED56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D23E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F3F75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D2486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DB0526C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C7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62EC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D916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56B494" w14:textId="77777777" w:rsidR="00962F33" w:rsidRPr="0079387D" w:rsidRDefault="00962F33" w:rsidP="00962F33">
      <w:pPr>
        <w:pStyle w:val="Zwykytekst1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595A6635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7C0FF44A" w14:textId="77777777" w:rsidR="00962F33" w:rsidRPr="0079387D" w:rsidRDefault="00962F33" w:rsidP="00962F33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 w:rsidRPr="0079387D">
        <w:rPr>
          <w:rFonts w:asciiTheme="minorHAnsi" w:hAnsiTheme="minorHAnsi" w:cstheme="minorHAnsi"/>
          <w:bCs/>
          <w:i/>
          <w:lang w:eastAsia="ar-SA"/>
        </w:rPr>
        <w:t xml:space="preserve">          4. L = 300, ilość = 1</w:t>
      </w:r>
    </w:p>
    <w:p w14:paraId="0B1BB073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tbl>
      <w:tblPr>
        <w:tblW w:w="6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49"/>
        <w:gridCol w:w="2194"/>
      </w:tblGrid>
      <w:tr w:rsidR="00962F33" w:rsidRPr="0079387D" w14:paraId="20480B07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F1B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D28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F5002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E12BF7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06A138B6" w14:textId="77777777" w:rsidTr="0006291F">
        <w:trPr>
          <w:trHeight w:val="121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A5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254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8432E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EC5D0B3" w14:textId="77777777" w:rsidTr="0006291F">
        <w:trPr>
          <w:trHeight w:val="120"/>
          <w:jc w:val="center"/>
        </w:trPr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5676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6DD7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ABB83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6E3C928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C89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D5B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171B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2F2FE37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0F0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C3E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F364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5976813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085" w14:textId="77777777" w:rsidR="00962F33" w:rsidRPr="00665EB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5EB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E4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2,6 kg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24D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3FEB62F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8E4B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FDAF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F279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95D4832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D2E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A0F93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474AF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902F517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9249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3D87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B4B7F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CE54314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C8E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3F72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E5DE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98CB969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24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871E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65A58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BEF1286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CAFD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lastRenderedPageBreak/>
              <w:t>Częstotliwość powtarzania impulsów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F73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CF8B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E299813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6A6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DF04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89AD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BC0CE9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654811CC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18DFA012" w14:textId="77777777" w:rsidR="00962F33" w:rsidRPr="004E43A9" w:rsidRDefault="004E43A9" w:rsidP="004E43A9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>
        <w:rPr>
          <w:rFonts w:asciiTheme="minorHAnsi" w:hAnsiTheme="minorHAnsi" w:cstheme="minorHAnsi"/>
          <w:bCs/>
          <w:i/>
          <w:lang w:eastAsia="ar-SA"/>
        </w:rPr>
        <w:t xml:space="preserve">5. </w:t>
      </w:r>
      <w:r w:rsidR="00962F33" w:rsidRPr="004E43A9">
        <w:rPr>
          <w:rFonts w:asciiTheme="minorHAnsi" w:hAnsiTheme="minorHAnsi" w:cstheme="minorHAnsi"/>
          <w:bCs/>
          <w:i/>
          <w:lang w:eastAsia="ar-SA"/>
        </w:rPr>
        <w:t>L = 400, ilość = 3</w:t>
      </w:r>
    </w:p>
    <w:p w14:paraId="560C87AA" w14:textId="77777777" w:rsidR="00962F33" w:rsidRPr="0079387D" w:rsidRDefault="00962F33" w:rsidP="00962F33">
      <w:pPr>
        <w:pStyle w:val="Akapitzlist"/>
        <w:suppressAutoHyphens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:rsidRPr="0079387D" w14:paraId="0CE0B6A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BD5648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A3D39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F9DE2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CBD61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79387D" w14:paraId="5FDDB716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CBE209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AB440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5E2C7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F17D4A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B49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AEBA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5484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9726D9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69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9457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DBF5D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CBD6C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E29D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AE324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B1AB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DBE62D6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BB8BA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AC45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3,2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E2F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F2376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E28E6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7EA78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EE3EF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B77D2A1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95E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93E2E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74B60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676C3A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4B3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CA904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E44E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7325F1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C1D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31929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0B16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0936A93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92E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BB10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D38F8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F3880D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60457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E13CE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A93E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97D4AE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B35C4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E72F5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0BF0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AE83B1" w14:textId="77777777" w:rsidR="00962F33" w:rsidRPr="0079387D" w:rsidRDefault="00962F33" w:rsidP="00962F33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 w:rsidRPr="0079387D">
        <w:rPr>
          <w:rFonts w:asciiTheme="minorHAnsi" w:hAnsiTheme="minorHAnsi" w:cstheme="minorHAnsi"/>
          <w:bCs/>
          <w:i/>
          <w:lang w:eastAsia="ar-SA"/>
        </w:rPr>
        <w:t xml:space="preserve">             </w:t>
      </w:r>
    </w:p>
    <w:p w14:paraId="6FFECAA1" w14:textId="77777777" w:rsidR="00962F33" w:rsidRPr="004E43A9" w:rsidRDefault="00962F33" w:rsidP="004E43A9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  <w:r w:rsidRPr="004E43A9">
        <w:rPr>
          <w:rFonts w:asciiTheme="minorHAnsi" w:hAnsiTheme="minorHAnsi" w:cstheme="minorHAnsi"/>
          <w:bCs/>
          <w:i/>
          <w:lang w:eastAsia="ar-SA"/>
        </w:rPr>
        <w:t>6.</w:t>
      </w:r>
      <w:r w:rsidR="004E43A9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4E43A9">
        <w:rPr>
          <w:rFonts w:asciiTheme="minorHAnsi" w:hAnsiTheme="minorHAnsi" w:cstheme="minorHAnsi"/>
          <w:bCs/>
          <w:i/>
          <w:lang w:eastAsia="ar-SA"/>
        </w:rPr>
        <w:t>L = 500, ilość = 6</w:t>
      </w:r>
    </w:p>
    <w:p w14:paraId="1CB07E92" w14:textId="77777777" w:rsidR="00962F33" w:rsidRDefault="00962F33" w:rsidP="00962F33">
      <w:pPr>
        <w:pStyle w:val="Akapitzlist"/>
        <w:suppressAutoHyphens/>
        <w:ind w:left="1418"/>
        <w:jc w:val="both"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44176EE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F47916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D616D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7D5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15F2F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1D6F91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05BCE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DAE5C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86C63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AD3E9E0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894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0D3E67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1FF3A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6A608E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E8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44845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953F3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45B798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AF5D8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A4E4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D72D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97A51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52C8B9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EB4B8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70A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43CF14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A6195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26BCE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28C5E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34730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14A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DE2F6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CDE7E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7ADFFB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BAE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5192D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7B566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0EA671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CA9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4357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64B11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06BACA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DB5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6C064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9B1E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74C61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A7E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F476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7E46F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7C46AB6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E1780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C6FD3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DCC5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53EAACC" w14:textId="77777777" w:rsidR="00962F33" w:rsidRDefault="00962F33" w:rsidP="00962F33"/>
    <w:p w14:paraId="602B366A" w14:textId="77777777" w:rsidR="00962F33" w:rsidRPr="004E43A9" w:rsidRDefault="00962F33" w:rsidP="004E43A9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  <w:r w:rsidRPr="004E43A9">
        <w:rPr>
          <w:rFonts w:asciiTheme="minorHAnsi" w:hAnsiTheme="minorHAnsi" w:cstheme="minorHAnsi"/>
          <w:bCs/>
          <w:i/>
          <w:lang w:eastAsia="ar-SA"/>
        </w:rPr>
        <w:t>7. L = 597, ilość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AF12F0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D36655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09C54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3606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FF6679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6A607169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A6D0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A80256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E528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302B583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BB2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39D3C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7F41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78B83C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A1CA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2A507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5DD39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56D16E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4B320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CBDE9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6ED5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3F2EAE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154B88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FF54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D564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DA6D9F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29AFD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4B15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8BA0D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6F99C9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80A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6ACCC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3DABE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AEF1E11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F54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9DB7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B55E4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DCD3E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3C3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F826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4AE91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D57653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EF6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21B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4824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AFFA9E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C7E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A7B9B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8D479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2A2CAE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267C3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77BCF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8528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A4DD84E" w14:textId="77777777" w:rsidR="00962F33" w:rsidRPr="005D2374" w:rsidRDefault="00962F33" w:rsidP="00962F33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</w:p>
    <w:p w14:paraId="076FF584" w14:textId="77777777" w:rsidR="00962F33" w:rsidRPr="00AD69BD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 xml:space="preserve">  </w:t>
      </w:r>
      <w:r w:rsidR="00962F33" w:rsidRPr="00AD69BD">
        <w:rPr>
          <w:rFonts w:ascii="Calibri" w:hAnsi="Calibri" w:cs="Calibri"/>
          <w:bCs/>
          <w:i/>
          <w:lang w:eastAsia="ar-SA"/>
        </w:rPr>
        <w:t>8. L = 650, ilość 1</w:t>
      </w:r>
    </w:p>
    <w:p w14:paraId="6D2A7FE0" w14:textId="77777777" w:rsidR="00962F33" w:rsidRPr="00AD69BD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:rsidRPr="00AD69BD" w14:paraId="2435F49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7893B0" w14:textId="77777777" w:rsidR="00962F33" w:rsidRPr="00AD69BD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69BD"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67C3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98031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DBAD97B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AD69BD" w14:paraId="5717FBA0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F5F5F7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 w:rsidRPr="00AD69BD"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E9D0C9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B7081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64704815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FF24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74F5FF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0E2363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4C9C31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3388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7C372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1BA7D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A4F32D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274214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1EB309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73BD4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67FDA3FA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5F5C6B" w14:textId="77777777" w:rsidR="00962F33" w:rsidRPr="00AD69BD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69BD"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6952AE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4,7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5C6F0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51E96048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888FE8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0561D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7558A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5BDDA5A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792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76D210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6578F1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3C445BE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EAA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1B54AC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BFBB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BAEE28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284E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21FB52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B36177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0C936F9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30A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F4A8E4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 w:rsidRPr="00AD69BD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01E33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F0942C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686D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BCC47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A89FDA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4088D93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541BFF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2CC98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FBD9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D01F5E2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F42D650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2249487" w14:textId="77777777" w:rsidR="004E43A9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 xml:space="preserve">             </w:t>
      </w:r>
    </w:p>
    <w:p w14:paraId="4062D43D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2A74EFC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lastRenderedPageBreak/>
        <w:t xml:space="preserve"> </w:t>
      </w:r>
      <w:r w:rsidRPr="00AD69BD">
        <w:rPr>
          <w:rFonts w:ascii="Calibri" w:hAnsi="Calibri" w:cs="Calibri"/>
          <w:bCs/>
          <w:i/>
          <w:lang w:eastAsia="ar-SA"/>
        </w:rPr>
        <w:t>9. L = 770, ilość = 2</w:t>
      </w:r>
    </w:p>
    <w:p w14:paraId="63200B19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182DD4B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69B71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96245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FC820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C154CB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51C9A06B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4633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22E58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D372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595558C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0D3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333FAF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1EF47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9A5219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86F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E8B66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AA41A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6CB005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05CB9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60026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8D2C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FC158A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D83670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AD28B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F35D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115281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255C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50C6B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E479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C3513B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F45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3D7C5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D890B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91411C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111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95C53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BBBB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D86A23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2E0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C4D65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F993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1E2199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BE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AEF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9B3C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85F707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1A0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BC29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C55B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0A9AC6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6A200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5C93F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59D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848A511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45F1645A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8A3AF1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>10. L = 779, ilość 1</w:t>
      </w:r>
    </w:p>
    <w:p w14:paraId="1A81738E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5C332F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3AD2C5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B4B4A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82F92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09C430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154D3D8F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85F62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1359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B2ED7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3CEA05FB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61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898191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C71E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1682A9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32F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4243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FD4C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565636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3788C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87EA0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ADCC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74988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A3A32A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B74AF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2BA5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4FC736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0CD1A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3E69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2BA9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8CE050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3A2F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EA25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68C3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89FAA3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B34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F097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9B873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D26DE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DA4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2F5E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3D181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03CE72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AD5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3A65D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26EA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4AACD0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546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1CEAD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68E1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882405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87C2A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4292D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777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EAA3C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F997A75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1DFBB5B2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C762350" w14:textId="77777777" w:rsidR="004E43A9" w:rsidRPr="00362E37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3B359000" w14:textId="77777777" w:rsidR="00962F33" w:rsidRPr="00362E37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62E37">
        <w:rPr>
          <w:rFonts w:ascii="Calibri" w:hAnsi="Calibri" w:cs="Calibri"/>
          <w:bCs/>
          <w:i/>
          <w:sz w:val="24"/>
          <w:szCs w:val="24"/>
          <w:lang w:eastAsia="ar-SA"/>
        </w:rPr>
        <w:lastRenderedPageBreak/>
        <w:t>L = 945, ilość = 2</w:t>
      </w:r>
    </w:p>
    <w:p w14:paraId="10E224F9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3AA4780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B1172F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D33EC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CA79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757495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6F78C2A9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9C6E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385D3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DFB2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079D80C8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AFC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F42BC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12E6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EB92AB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32F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497A4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3F19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BBB962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A8930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1D911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5055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7942B4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7B45A1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2B230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BE5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EC8E48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4D146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1412B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20221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A4A5EB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325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AF90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709D2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D1FE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D2D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4A68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B5FDA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ECA6CE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9C6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DFCE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7D0F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ABA651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0F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D6932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80EB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96AC5A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FE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BE5CD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D45C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B714D85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2E444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FE4E1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734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B7D0D1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AD2B22D" w14:textId="77777777" w:rsidR="00962F33" w:rsidRPr="00362E37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00A306D" w14:textId="77777777" w:rsidR="00962F33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62E37">
        <w:rPr>
          <w:rFonts w:ascii="Calibri" w:hAnsi="Calibri" w:cs="Calibri"/>
          <w:bCs/>
          <w:i/>
          <w:sz w:val="24"/>
          <w:szCs w:val="24"/>
          <w:lang w:eastAsia="ar-SA"/>
        </w:rPr>
        <w:t>L = 1000, ilość  = 5</w:t>
      </w:r>
    </w:p>
    <w:p w14:paraId="51F0BBC2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29F571B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B5FEC8D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02A65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B4AF5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8B6DAD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77FF7F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17977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1AE6A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086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E22E30F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9389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5C1978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4A080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AFD4054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B39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F1B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A0B3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877606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99C05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3A9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E4E1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F2F474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BB817B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63089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DC94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3DFAA7E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CEB8F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A1ED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CF7E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0392CB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7F7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D39E7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36D6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794B13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0F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2E140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C2A08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F5DE64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172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64EA2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8338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9BE59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5E5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2888C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12F0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359DAC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C35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63AB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6759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27E160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2BC61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5BFFA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AAD1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1FF4DD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701B8E5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481F17A3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BDA9803" w14:textId="77777777" w:rsidR="004E43A9" w:rsidRPr="00362E37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3C069617" w14:textId="77777777" w:rsidR="00962F33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lastRenderedPageBreak/>
        <w:t>L = 1100, ilość = 2</w:t>
      </w:r>
    </w:p>
    <w:p w14:paraId="63B8B28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25AD46D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A55AB4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9582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33E8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41A6E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4BBC58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84365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24BDD0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275C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12C3A77E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9E86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45BA9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151B4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1F0BBA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518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2EAB0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64CBF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F49104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5B230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69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2238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7ED6C7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01B2AE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309CF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2B52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74A4B8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6616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88517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9FDA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4830DA8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F16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3CA5A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AE79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EF983E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A74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1E11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5A21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C58830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62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DA39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DA00A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967A63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746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28F9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03B5F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D05A5A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25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BA3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3DD44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26FFA7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B1975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06E4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8054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CE7A5FB" w14:textId="77777777" w:rsidR="00962F33" w:rsidRPr="00362E37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DD75B6F" w14:textId="33C3FCE1" w:rsidR="00962F33" w:rsidRPr="00136A0D" w:rsidRDefault="00962F33" w:rsidP="00136A0D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lang w:eastAsia="ar-SA"/>
        </w:rPr>
      </w:pPr>
      <w:r w:rsidRPr="00136A0D">
        <w:rPr>
          <w:rFonts w:ascii="Calibri" w:hAnsi="Calibri" w:cs="Calibri"/>
          <w:bCs/>
          <w:i/>
          <w:lang w:eastAsia="ar-SA"/>
        </w:rPr>
        <w:t>L = 1500, ilość 10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6A05AC7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DB9593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62A1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8A117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CD035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5A2DDCA4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B55FB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25C23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80CB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B95A2FB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6771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7C5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858D9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E9F22C9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822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80DBA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67CD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A58024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06501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3B38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EB9B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929223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BC18C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1CDF5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0F16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22B2CE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120A6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26896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323A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91327C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BFE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80E18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58F09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F8C5F4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C87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06F2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94FB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4C5BE2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14E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B5BD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FF78B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FF387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72D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6ECDC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D8B7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F8F828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D4C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BC8C3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5BD1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C34C81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901E9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F21F4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6EF3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ECAE11" w14:textId="77777777" w:rsidR="00962F33" w:rsidRPr="00777070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05DE7881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42C1946D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1767EFD8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0968E792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18888510" w14:textId="77777777" w:rsidR="004E43A9" w:rsidRPr="00777070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54BF47B4" w14:textId="2FDC3AB4" w:rsidR="00136A0D" w:rsidRPr="00136A0D" w:rsidRDefault="00136A0D" w:rsidP="00136A0D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lang w:eastAsia="ar-SA"/>
        </w:rPr>
      </w:pPr>
      <w:r w:rsidRPr="00136A0D">
        <w:rPr>
          <w:rFonts w:ascii="Calibri" w:hAnsi="Calibri" w:cs="Calibri"/>
          <w:bCs/>
          <w:i/>
          <w:lang w:eastAsia="ar-SA"/>
        </w:rPr>
        <w:lastRenderedPageBreak/>
        <w:t xml:space="preserve"> Kolano typu E = ilość 9</w:t>
      </w:r>
      <w:r w:rsidR="00962F33" w:rsidRPr="00136A0D">
        <w:rPr>
          <w:rFonts w:ascii="Calibri" w:hAnsi="Calibri" w:cs="Calibri"/>
          <w:bCs/>
          <w:i/>
          <w:lang w:eastAsia="ar-SA"/>
        </w:rPr>
        <w:t xml:space="preserve"> 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136A0D" w14:paraId="259FBA3F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C6658A" w14:textId="77777777" w:rsidR="00136A0D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32567E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2D0740" w14:textId="77777777" w:rsidR="00136A0D" w:rsidRPr="0079387D" w:rsidRDefault="00136A0D" w:rsidP="00B1314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37BF62B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136A0D" w:rsidRPr="008D0140" w14:paraId="5B5B74A2" w14:textId="77777777" w:rsidTr="00B13142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B8C891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F36007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7E866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22C614A0" w14:textId="77777777" w:rsidTr="00B13142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6540D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235176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F8F47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4883E829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210D9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1D1CB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E26D32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148031FA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6E544D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A4B49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FC0B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0D31921E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09F80C" w14:textId="77777777" w:rsidR="00136A0D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7DAEFD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F675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1855C71F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BF3170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D86A6C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778C8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52AAA0F7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A1B7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7CBED2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B17A3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0FB64099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0FC6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01C4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A9F204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3FFD6F9A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E973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80BFA2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4A86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3F8FABD7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4E45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5A996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BC442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4941783C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33DF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92A08B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25C69E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4C351721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AE71A8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4B2E66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FB5FA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C5B6CAC" w14:textId="236573A6" w:rsidR="00136A0D" w:rsidRDefault="00136A0D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E807F5F" w14:textId="77777777" w:rsidR="00136A0D" w:rsidRDefault="00136A0D" w:rsidP="00136A0D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217CE1">
        <w:rPr>
          <w:rFonts w:ascii="Calibri" w:hAnsi="Calibri" w:cs="Calibri"/>
          <w:bCs/>
          <w:i/>
          <w:sz w:val="24"/>
          <w:szCs w:val="24"/>
          <w:lang w:eastAsia="ar-SA"/>
        </w:rPr>
        <w:t>Kolano typu H = 18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136A0D" w14:paraId="19F57169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2FE2D0" w14:textId="77777777" w:rsidR="00136A0D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1CE6A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CA85FE" w14:textId="77777777" w:rsidR="00136A0D" w:rsidRPr="0079387D" w:rsidRDefault="00136A0D" w:rsidP="00B1314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9833783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136A0D" w:rsidRPr="008D0140" w14:paraId="2D0DA286" w14:textId="77777777" w:rsidTr="00B13142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0C944B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A20892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2F7E5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0C1170F7" w14:textId="77777777" w:rsidTr="00B13142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B1E3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554F0C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C6435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6F1C4CF1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774FF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C0162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1DD25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230FB37F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C0AFDD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2783E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D28B5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7DDDDFBE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65DFD6" w14:textId="77777777" w:rsidR="00136A0D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48E045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0948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20FF7130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DD75C8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FC59F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335A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6F4203EF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60686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54EC1E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FF88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3FCC4E08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DC7A8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015E2A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86147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51EBA08E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6E49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C5B725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0FCB0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25413E3C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B5475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63E36C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1874A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354AC0D1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4369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0FF526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3CA31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14:paraId="25AFBDB1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D3E2A0" w14:textId="77777777" w:rsidR="00136A0D" w:rsidRDefault="00136A0D" w:rsidP="00B131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A9DFA7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5E71A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612716A" w14:textId="77777777" w:rsidR="00136A0D" w:rsidRDefault="00136A0D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4865730E" w14:textId="2D35F459" w:rsidR="00962F33" w:rsidRPr="00136A0D" w:rsidRDefault="00962F33" w:rsidP="00136A0D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lang w:eastAsia="ar-SA"/>
        </w:rPr>
      </w:pPr>
      <w:r w:rsidRPr="00136A0D">
        <w:rPr>
          <w:rFonts w:ascii="Calibri" w:hAnsi="Calibri" w:cs="Calibri"/>
          <w:bCs/>
          <w:i/>
          <w:lang w:eastAsia="ar-SA"/>
        </w:rPr>
        <w:t>Falowód elastyczny L = 597, ilość = 115</w:t>
      </w:r>
    </w:p>
    <w:p w14:paraId="76FBBB6C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1B9CFC07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252082F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010C6E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</w:tcPr>
          <w:p w14:paraId="6EAC090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E31B5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5B4ADFFE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14:paraId="707D521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2C3030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5E576F0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1688EE7F" w14:textId="77777777" w:rsidTr="0006291F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627FF08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613C7D42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689E289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8EBA640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1E32415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0901CA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</w:tcPr>
          <w:p w14:paraId="24C447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7B98C23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55A65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7DC11B5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40A0110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E3C0ABF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441F1B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70E2822B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3CA8AE8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51E3B58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075007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3A01FEA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20F5147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DA2FD66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23D7885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E957441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</w:tcPr>
          <w:p w14:paraId="6699998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0DFFE7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0C32990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0C24EA40" w14:textId="77777777" w:rsidR="00962F33" w:rsidRPr="00777070" w:rsidRDefault="00962F33" w:rsidP="003B24E8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777070">
        <w:rPr>
          <w:rFonts w:ascii="Calibri" w:hAnsi="Calibri" w:cs="Calibri"/>
          <w:bCs/>
          <w:i/>
          <w:sz w:val="24"/>
          <w:szCs w:val="24"/>
          <w:lang w:eastAsia="ar-SA"/>
        </w:rPr>
        <w:t>Falowód elastyczny L = 770, ilość 1</w:t>
      </w:r>
    </w:p>
    <w:p w14:paraId="7F3B4AC6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0B0909B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B7B2264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0A85BC2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5D4E5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</w:tcPr>
          <w:p w14:paraId="1386E8F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A3C9A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5F0346F7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14:paraId="1DE34EA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44D9EA9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20CC772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37DC51A3" w14:textId="77777777" w:rsidTr="0006291F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1BC655F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22DD7FB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267A2B5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F0952B2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1A34AF3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7231772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</w:tcPr>
          <w:p w14:paraId="6EB55EF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D24ACC0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3B6413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61F0D0EA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6E8B9D7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2054B91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044FB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5773E797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1488753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8DF32B5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030E74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5F261E7B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546C46A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D6196EF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05A932E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711B582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</w:tcPr>
          <w:p w14:paraId="0D6D18E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E82512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BE2D9A3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7099A0E" w14:textId="77777777" w:rsidR="00962F33" w:rsidRPr="00217CE1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1FA1623" w14:textId="77777777" w:rsidR="00962F33" w:rsidRPr="0006291F" w:rsidRDefault="0006291F" w:rsidP="00962F33">
      <w:pPr>
        <w:suppressAutoHyphens/>
        <w:rPr>
          <w:rFonts w:asciiTheme="minorHAnsi" w:hAnsiTheme="minorHAnsi" w:cstheme="minorHAnsi"/>
          <w:bCs/>
          <w:i/>
          <w:sz w:val="28"/>
          <w:szCs w:val="28"/>
          <w:lang w:eastAsia="ar-SA"/>
        </w:rPr>
      </w:pPr>
      <w:r w:rsidRPr="0006291F">
        <w:rPr>
          <w:rFonts w:asciiTheme="minorHAnsi" w:hAnsiTheme="minorHAnsi" w:cstheme="minorHAnsi"/>
          <w:b/>
          <w:spacing w:val="-10"/>
          <w:kern w:val="28"/>
          <w:sz w:val="28"/>
          <w:szCs w:val="28"/>
          <w:lang w:val="en-US"/>
        </w:rPr>
        <w:t>Delivery specification</w:t>
      </w:r>
    </w:p>
    <w:p w14:paraId="2230258B" w14:textId="77777777" w:rsidR="0006291F" w:rsidRPr="0006291F" w:rsidRDefault="0006291F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2C1CFD78" w14:textId="4E1D17C8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100, </w:t>
      </w:r>
      <w:proofErr w:type="spellStart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</w:t>
      </w:r>
      <w:r w:rsidR="00136A0D">
        <w:rPr>
          <w:rFonts w:ascii="Calibri" w:hAnsi="Calibri" w:cs="Calibri"/>
          <w:bCs/>
          <w:i/>
          <w:sz w:val="24"/>
          <w:szCs w:val="24"/>
          <w:lang w:eastAsia="ar-SA"/>
        </w:rPr>
        <w:t>6</w:t>
      </w:r>
    </w:p>
    <w:tbl>
      <w:tblPr>
        <w:tblW w:w="6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011"/>
        <w:gridCol w:w="2011"/>
      </w:tblGrid>
      <w:tr w:rsidR="0006291F" w:rsidRPr="008D0140" w14:paraId="4D7D1AFE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25E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AED1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5E6CB3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52128FCC" w14:textId="77777777" w:rsidTr="0006291F">
        <w:trPr>
          <w:trHeight w:val="288"/>
          <w:jc w:val="center"/>
        </w:trPr>
        <w:tc>
          <w:tcPr>
            <w:tcW w:w="25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7C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0209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F2CF9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0070ECB" w14:textId="77777777" w:rsidTr="0006291F">
        <w:trPr>
          <w:trHeight w:val="288"/>
          <w:jc w:val="center"/>
        </w:trPr>
        <w:tc>
          <w:tcPr>
            <w:tcW w:w="25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6AF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A4D4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02AF2C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675C7C7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31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210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A3D6D7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1F1BE0C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6A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65CD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E7353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F2AE3A8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33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260B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949A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B07895D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E06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± 5%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56C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ED7C0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14DAB8D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797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AC64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B5035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CBDA0E3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E16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68B4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F9299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E4BF80B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0D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4F68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1BA7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BC567AF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A57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3E6E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8D0A00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8BF9BF8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7B91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C3F18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D5842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2DC9719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3138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FE6B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1FABA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61C9BFB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78A5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A0E4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1DC4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298E69E" w14:textId="77777777" w:rsidR="0006291F" w:rsidRPr="0006291F" w:rsidRDefault="0006291F" w:rsidP="0006291F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ED40DBE" w14:textId="7B426E43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lastRenderedPageBreak/>
        <w:t xml:space="preserve">L = 150, </w:t>
      </w:r>
      <w:proofErr w:type="spellStart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</w:t>
      </w:r>
      <w:r w:rsidR="00136A0D">
        <w:rPr>
          <w:rFonts w:ascii="Calibri" w:hAnsi="Calibri" w:cs="Calibri"/>
          <w:bCs/>
          <w:i/>
          <w:sz w:val="24"/>
          <w:szCs w:val="24"/>
          <w:lang w:eastAsia="ar-SA"/>
        </w:rPr>
        <w:t>3</w:t>
      </w:r>
    </w:p>
    <w:tbl>
      <w:tblPr>
        <w:tblW w:w="6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78"/>
        <w:gridCol w:w="1822"/>
      </w:tblGrid>
      <w:tr w:rsidR="0006291F" w:rsidRPr="008D0140" w14:paraId="43DDE388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3C4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8E5D9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66B942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67AE030D" w14:textId="77777777" w:rsidTr="0006291F">
        <w:trPr>
          <w:trHeight w:val="288"/>
          <w:jc w:val="center"/>
        </w:trPr>
        <w:tc>
          <w:tcPr>
            <w:tcW w:w="28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7F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1E4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95851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122B31C" w14:textId="77777777" w:rsidTr="0006291F">
        <w:trPr>
          <w:trHeight w:val="288"/>
          <w:jc w:val="center"/>
        </w:trPr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EB95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56F2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15CB3C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018DF31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BD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382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6FFBB9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2CB3AEE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5B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AABD7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F249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F3355C7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4EC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8EE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1E96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7465CAE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D4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93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8E642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736955A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258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1726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D7C4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58D831E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F7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2269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60E065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A2180C8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FCA1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7611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64767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1B0BFE1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526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4C3F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FDABB3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9EA75E8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EA0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55AD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E867E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5A91299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E89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C181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4BED1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79DD237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33A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A413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60013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C963E74" w14:textId="77777777" w:rsidR="0006291F" w:rsidRDefault="0006291F" w:rsidP="0006291F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AE6C401" w14:textId="77777777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lang w:eastAsia="ar-SA"/>
        </w:rPr>
      </w:pPr>
      <w:r w:rsidRPr="0006291F">
        <w:rPr>
          <w:rFonts w:ascii="Calibri" w:hAnsi="Calibri" w:cs="Calibri"/>
          <w:bCs/>
          <w:i/>
          <w:lang w:eastAsia="ar-SA"/>
        </w:rPr>
        <w:t xml:space="preserve">L = 200, </w:t>
      </w:r>
      <w:proofErr w:type="spellStart"/>
      <w:r w:rsidRPr="0006291F">
        <w:rPr>
          <w:rFonts w:ascii="Calibri" w:hAnsi="Calibri" w:cs="Calibri"/>
          <w:bCs/>
          <w:i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lang w:eastAsia="ar-SA"/>
        </w:rPr>
        <w:t xml:space="preserve"> = 9</w:t>
      </w:r>
    </w:p>
    <w:p w14:paraId="41FA285D" w14:textId="77777777" w:rsidR="0006291F" w:rsidRDefault="0006291F" w:rsidP="0006291F">
      <w:pPr>
        <w:suppressAutoHyphens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4EB54FF" w14:textId="77777777" w:rsidR="0006291F" w:rsidRDefault="0006291F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223"/>
      </w:tblGrid>
      <w:tr w:rsidR="0006291F" w:rsidRPr="008D0140" w14:paraId="308F2DEE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92FA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B6095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D4ECDA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4BE23EB1" w14:textId="77777777" w:rsidTr="0006291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8E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C7D3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2FA53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CFF82DB" w14:textId="77777777" w:rsidTr="0006291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F52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7AAE3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38D4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0AE42F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FE3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EB99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63E0A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6870A0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8A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D35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F664D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13AA58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546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BA0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8E088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116A7A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FD8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F5C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F679D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A81895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C08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5368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AE50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3006BF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F79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6685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25C4E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3F87B8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176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19BB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E0BE7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903B09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EA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BBA5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9BE3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735A2E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F59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D50A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9B7DC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022F398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1657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0D7B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FF4E5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8F2688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F88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6BCAB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0D399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69FE120" w14:textId="77777777" w:rsidR="0006291F" w:rsidRPr="00832B6F" w:rsidRDefault="0006291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2E8C4E4F" w14:textId="77777777" w:rsidR="0006291F" w:rsidRPr="00832B6F" w:rsidRDefault="0006291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7A503B1" w14:textId="77777777" w:rsidR="0006291F" w:rsidRDefault="00832B6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300, </w:t>
      </w:r>
      <w:proofErr w:type="spellStart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1E13133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2B7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CD962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C44AA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70EE77E0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63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960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B790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5097176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BC0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ED82B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27C6F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7FD2A0E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37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D64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D504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6930C9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D6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BA26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21324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50E8DFD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55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EFC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112E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21C6CDF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8F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173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0AAFB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4692C09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936F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9DCE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CB1EC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14:paraId="303F4A6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2A63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5FEFE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 kg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B426C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449208D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085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CAAD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62184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2573368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77C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9A36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E49F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359AEF1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17F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029E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3A41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158F02D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FEB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0579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C529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F6409CA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C43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E51F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B3E5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D87755" w14:textId="77777777" w:rsid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A66AF66" w14:textId="77777777" w:rsidR="00832B6F" w:rsidRPr="00832B6F" w:rsidRDefault="00832B6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400, </w:t>
      </w:r>
      <w:proofErr w:type="spellStart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3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43E53F11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CC0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29C6A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279755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701F74E8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8F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274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16E36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D1CAA20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DD9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F812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1AC5A2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96A9EF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20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F6E5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65793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BE63329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C5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62E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7126B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668D3D1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41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11D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D3FE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7904D86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F10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41C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543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75E7EF4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C04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E6EC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DBC69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061429B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FFED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F042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F634D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EAFD037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390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8CF9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0300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01330B1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ACFE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04C09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91E536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F505B54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DB9B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892F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8AD669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9C5B5BF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6F8C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0130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46736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DD9DCD5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21E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25EC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AA7F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9F9C320" w14:textId="77777777" w:rsidR="00832B6F" w:rsidRP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DBF9B2F" w14:textId="77777777" w:rsidR="00832B6F" w:rsidRPr="00832B6F" w:rsidRDefault="00832B6F" w:rsidP="003B24E8">
      <w:pPr>
        <w:pStyle w:val="Akapitzlist"/>
        <w:numPr>
          <w:ilvl w:val="0"/>
          <w:numId w:val="25"/>
        </w:numPr>
        <w:suppressAutoHyphens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 xml:space="preserve">L = 500, </w:t>
      </w:r>
      <w:proofErr w:type="spellStart"/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 xml:space="preserve"> = 6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44B5BA2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DE2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FB87B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5150F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27A37C60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AD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9F33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A90EA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283915F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3DB3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6D92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35F1A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C97BE36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1F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D1F0D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ECFC4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7EED93C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5D9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939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98046F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B05D814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48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8D4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EDE5F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B8290DA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A84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D15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A2462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861F8F5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DF74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819F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C8F4BD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1A5A2AA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CA6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9FE3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9E57D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8B718E3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F45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3FB1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73560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3920D65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A2F8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2CA2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20DA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D21BBF5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93BC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88E6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ABEFF7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1A013FC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8F0E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0D8E3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6D5D4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86CC1B7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5E0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2DDD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5CD96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F507B99" w14:textId="77777777" w:rsid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3DA2688F" w14:textId="77777777" w:rsidR="00832B6F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597,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28E0CDA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6D6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2BDE5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BF633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702D251D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D2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E61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791B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17F8EF4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65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7CF4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89DE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54327A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1C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70E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150A9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93C596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13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r>
              <w:rPr>
                <w:rFonts w:ascii="Calibri" w:hAnsi="Calibri" w:cs="Calibri"/>
                <w:color w:val="000000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E82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DA640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59B19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9DB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5FC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6A37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F09CB4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CD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F6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DE5E8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306B7E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108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BF6C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87850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309ED0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F84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2CAC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AF79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A1E630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A2E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04A1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6F83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B9F1C0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CAB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30A7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5BA0B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4428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FED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6CD0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24606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1E8BAC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752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0753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EB31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E77C2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DF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E536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2190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93F1F7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2DB650DF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650,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40E17E5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112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22303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5EAE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3D8601B3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84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DA5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9D8863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C97206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11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E4DD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3E36C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906BE9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D5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4DC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86EF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A64E36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40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0078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0D398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B5BAEC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E8A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BF60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A924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3E10A6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61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F46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48077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72096F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F67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0877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6A03C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02F9B9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36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6357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E487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458D34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6BF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8AB3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DD42D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3ECB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E74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DF67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4259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60F4A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61C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ECA9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5F7D9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4E01DE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51E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D3E6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0574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003A84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C14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A77E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005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5C3E08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38C48B41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770,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1866D4B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7FD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26AC6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46FD0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E9972C4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1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07D7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99BC3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5DCBFC2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846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039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D824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98CEFA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BA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65A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40BC8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CA426A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3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778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94DA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83B741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69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F50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C170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01FD271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0A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0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066A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57EBCB0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F99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AF23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AF53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92F42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872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1B2A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0EF32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7EAB85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BC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DA6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DB4B7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E4D15F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F71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9EF2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68248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EA7F05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B24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3DF7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31201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D9B252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E8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0AF9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4DEF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D4E985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EEC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5F2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1B0F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37EB8F" w14:textId="77777777" w:rsid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4B549EE2" w14:textId="77777777" w:rsidR="00463C8D" w:rsidRP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779,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p w14:paraId="086022B4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58072B5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00C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EB017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A63334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C830A86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74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E0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1E9D3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6A5901E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769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D7CB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37182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909334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87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686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05CFF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E113C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D0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212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839B1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5E4ECB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688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E0B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0352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3878232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65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790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0BE7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A3E4A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7D0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B26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B71B6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174B13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CD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1B86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ECEE0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A845231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DAE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FAC3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DDFEC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32F318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EE3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D0B6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B2A3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FA7D4D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249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8737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41E98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2722F30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901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1DD9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ADB12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43C3FA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0E3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4372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4390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6636E91" w14:textId="77777777" w:rsidR="00463C8D" w:rsidRPr="00463C8D" w:rsidRDefault="00463C8D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6F959CCB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945,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047F9A49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C1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AAFFC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DE4165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A8EC86C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6C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5A39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09D4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7C0ECCE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94F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F081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657ED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69A85B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2B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25E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91208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1E0929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B5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399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91792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13FF51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67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40C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552A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CE5107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7FE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FDA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9A53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63C7BA4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8AD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A19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9DF1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CF79C5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B3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9EFC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8F853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B552B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FF4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252E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A381B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8C97FB4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A6D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6A1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E0813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839284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181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A4CB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8E46A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5D2F6D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A4E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lastRenderedPageBreak/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83169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05F69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F82B436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87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EC71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7FD7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48657E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586A5F80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1000,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5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3316EC4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B58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45A4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582F2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72B1748A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11B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D8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F853B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50B65D1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CE2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1063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8E66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8A0E4E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47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C0B3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7ACE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6A7CB2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4C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43D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A186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75687F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7E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AB8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BABB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FBFBC80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A7D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33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CF4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973491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5A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3953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F43A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03841F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C9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D0FF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8B549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3EEA98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EA1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FFE0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2164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1F5A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1E7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FC2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776B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E1A947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600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5E96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46D30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AB3200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CE2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3F44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E056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4C7BFD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3C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522A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FF35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E17E736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360DD45D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1100,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4A9D815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424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F598C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EB1BF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27412FD8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F6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8EF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E6A4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F85CE13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2E7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4392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1C0F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26804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E2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124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B3573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281945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15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44F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894DF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0D47D6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92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A8CA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1EE0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6287E9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E26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53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63E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E4F27B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AA2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8E22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8C44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806334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99B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C82E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D6C31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4CB5CF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E4F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0A33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82D25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3F6226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67F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F896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804A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CF3F47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813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02D9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71A5D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6FE1FF2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088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FB20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EC31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72A4FC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464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1EB7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1FE0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D43FA02" w14:textId="77777777" w:rsidR="00463C8D" w:rsidRDefault="00463C8D" w:rsidP="00463C8D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3DB01B4" w14:textId="77777777" w:rsidR="00463C8D" w:rsidRP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1500,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10</w:t>
      </w:r>
    </w:p>
    <w:p w14:paraId="33DD5492" w14:textId="77777777" w:rsidR="00463C8D" w:rsidRPr="00463C8D" w:rsidRDefault="00463C8D" w:rsidP="00463C8D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31E871D4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3A62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6972B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2371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3E5A3D7A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14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B8E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9F2F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20E7DD6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C0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3B40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DCBC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7D19E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29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C8D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EB11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A55D27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6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5F4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385E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70C2FA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1A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076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AF02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D21127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26A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12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4C7C7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2863B09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D5D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DAAB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BD92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417BD7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6C8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79A5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7D80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6ED61F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632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4E91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6E34D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AF0ED94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F60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163D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AF58D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594EE7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11C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1859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FEAF38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8E7DA9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75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EF8D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5D3C8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1972A3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9AA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E398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0DEFB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3B2A2A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813E0FA" w14:textId="77777777" w:rsidR="00136A0D" w:rsidRDefault="00136A0D" w:rsidP="00136A0D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E-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bend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9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136A0D" w:rsidRPr="008D0140" w14:paraId="1F26DC8C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D2C" w14:textId="77777777" w:rsidR="00136A0D" w:rsidRPr="00321836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81F9F" w14:textId="77777777" w:rsidR="00136A0D" w:rsidRPr="0006291F" w:rsidRDefault="00136A0D" w:rsidP="00B13142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1DA0C" w14:textId="77777777" w:rsidR="00136A0D" w:rsidRPr="0006291F" w:rsidRDefault="00136A0D" w:rsidP="00B13142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136A0D" w:rsidRPr="008D0140" w14:paraId="185820BD" w14:textId="77777777" w:rsidTr="00B13142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6B3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F193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2A785C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27AAD4C6" w14:textId="77777777" w:rsidTr="00B13142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B8CC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A1E30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E4D422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365DCD21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126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48B1D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49982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3479978F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C18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B1E24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203ABA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07747314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650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28AFA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A7057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F05393" w14:paraId="45A81D5D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5F5" w14:textId="77777777" w:rsidR="00136A0D" w:rsidRPr="0022318E" w:rsidRDefault="00136A0D" w:rsidP="00B13142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A9D" w14:textId="77777777" w:rsidR="00136A0D" w:rsidRPr="00F05393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3D53B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6EA1E675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45F6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7CBA7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8CA4FA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52C10075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F5F6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2C817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72FF83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5CABE4E7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675D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32F9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2572A4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4042A879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5E44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22334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AD6D3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2E641A54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0239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D01D80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087458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1C9141C2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D17F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BCBD3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0763ED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614FD82C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6DF8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B894D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DF3061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24EF25" w14:textId="77777777" w:rsidR="00136A0D" w:rsidRPr="003B24E8" w:rsidRDefault="00136A0D" w:rsidP="00136A0D">
      <w:pPr>
        <w:suppressAutoHyphens/>
        <w:rPr>
          <w:rFonts w:ascii="Calibri" w:hAnsi="Calibri" w:cs="Calibri"/>
          <w:bCs/>
          <w:i/>
          <w:lang w:eastAsia="ar-SA"/>
        </w:rPr>
      </w:pPr>
    </w:p>
    <w:p w14:paraId="56F72C24" w14:textId="77777777" w:rsidR="00136A0D" w:rsidRDefault="00136A0D" w:rsidP="00136A0D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H-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bend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guantity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18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136A0D" w:rsidRPr="008D0140" w14:paraId="5305EFB3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8C7" w14:textId="77777777" w:rsidR="00136A0D" w:rsidRPr="00321836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5E31E" w14:textId="77777777" w:rsidR="00136A0D" w:rsidRPr="0006291F" w:rsidRDefault="00136A0D" w:rsidP="00B13142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6D428" w14:textId="77777777" w:rsidR="00136A0D" w:rsidRPr="0006291F" w:rsidRDefault="00136A0D" w:rsidP="00B13142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136A0D" w:rsidRPr="008D0140" w14:paraId="15407E76" w14:textId="77777777" w:rsidTr="00B13142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8D2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86E41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AA95C4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459D6C37" w14:textId="77777777" w:rsidTr="00B13142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2AE3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A453E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F423F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4C543C6A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413D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910A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4D1E0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0FF656B5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7A2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BF5A0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7AB173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1F085FD7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DA1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DC4F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CC899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F05393" w14:paraId="3BDCBD1F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ECF" w14:textId="77777777" w:rsidR="00136A0D" w:rsidRPr="00321836" w:rsidRDefault="00136A0D" w:rsidP="00B1314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B6A" w14:textId="77777777" w:rsidR="00136A0D" w:rsidRPr="00F05393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69E89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156D4167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F74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D89AB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472543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2BB0B289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C506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D3F05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676594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35DD3D6E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0E75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D6C6D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58E35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4810C7A6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64F4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F9CC2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3DC08D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74CDCCC0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10C2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7BA12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EA04FA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30798B4F" w14:textId="77777777" w:rsidTr="00B13142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CB1A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066E9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58B08A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6A0D" w:rsidRPr="008D0140" w14:paraId="0901AB70" w14:textId="77777777" w:rsidTr="00B13142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12C4" w14:textId="77777777" w:rsidR="00136A0D" w:rsidRPr="008D0140" w:rsidRDefault="00136A0D" w:rsidP="00B1314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6C478" w14:textId="77777777" w:rsidR="00136A0D" w:rsidRPr="008D0140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BEC36" w14:textId="77777777" w:rsidR="00136A0D" w:rsidRDefault="00136A0D" w:rsidP="00B131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CAD5E82" w14:textId="77777777" w:rsidR="00136A0D" w:rsidRDefault="00136A0D" w:rsidP="00136A0D">
      <w:pPr>
        <w:pStyle w:val="Akapitzlist"/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</w:p>
    <w:p w14:paraId="2BCD714A" w14:textId="757A376E" w:rsidR="00463C8D" w:rsidRPr="00463C8D" w:rsidRDefault="00463C8D" w:rsidP="00136A0D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Flexible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waveguide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L = 597,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quality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5492F34A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7FEA2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</w:tcPr>
          <w:p w14:paraId="5D4735A2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14:paraId="0FE162AB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940C7A8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14:paraId="248C4E6D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</w:tcPr>
          <w:p w14:paraId="35A97EB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26E37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</w:tr>
      <w:tr w:rsidR="00463C8D" w:rsidRPr="008D0140" w14:paraId="73B08247" w14:textId="77777777" w:rsidTr="00463C8D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6538248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14:paraId="35DE97E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777381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</w:tr>
      <w:tr w:rsidR="00463C8D" w:rsidRPr="008D0140" w14:paraId="27D3DF01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82E48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</w:tcPr>
          <w:p w14:paraId="1985663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DAED95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</w:tr>
      <w:tr w:rsidR="00463C8D" w:rsidRPr="008D0140" w14:paraId="0F2B5919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1EF66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</w:tcPr>
          <w:p w14:paraId="6CDF29A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84EB96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</w:tr>
      <w:tr w:rsidR="00463C8D" w:rsidRPr="008D0140" w14:paraId="4441A98F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05BBC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</w:tcPr>
          <w:p w14:paraId="30023EE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6134DE5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</w:tr>
      <w:tr w:rsidR="00463C8D" w:rsidRPr="008D0140" w14:paraId="59E1A035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2612AE8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</w:tcPr>
          <w:p w14:paraId="35BDB0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918DCF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</w:tr>
      <w:tr w:rsidR="00463C8D" w:rsidRPr="008D0140" w14:paraId="3A333935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FCBFF1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</w:tcPr>
          <w:p w14:paraId="100646D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5BD94B8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</w:tr>
    </w:tbl>
    <w:p w14:paraId="5A2684D0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2C2023F" w14:textId="77777777" w:rsidR="003B24E8" w:rsidRDefault="003B24E8" w:rsidP="003B24E8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7DCE6D5" w14:textId="77777777" w:rsidR="003B24E8" w:rsidRDefault="003B24E8" w:rsidP="00136A0D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proofErr w:type="spellStart"/>
      <w:r>
        <w:rPr>
          <w:rFonts w:ascii="Calibri" w:hAnsi="Calibri" w:cs="Calibri"/>
          <w:bCs/>
          <w:i/>
          <w:sz w:val="24"/>
          <w:szCs w:val="24"/>
          <w:lang w:eastAsia="ar-SA"/>
        </w:rPr>
        <w:t>Flexible</w:t>
      </w:r>
      <w:proofErr w:type="spellEnd"/>
      <w:r>
        <w:rPr>
          <w:rFonts w:ascii="Calibri" w:hAnsi="Calibri" w:cs="Calibri"/>
          <w:bCs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Calibri" w:hAnsi="Calibri" w:cs="Calibri"/>
          <w:bCs/>
          <w:i/>
          <w:sz w:val="24"/>
          <w:szCs w:val="24"/>
          <w:lang w:eastAsia="ar-SA"/>
        </w:rPr>
        <w:t>waveguide</w:t>
      </w:r>
      <w:proofErr w:type="spellEnd"/>
      <w:r>
        <w:rPr>
          <w:rFonts w:ascii="Calibri" w:hAnsi="Calibri" w:cs="Calibri"/>
          <w:bCs/>
          <w:i/>
          <w:sz w:val="24"/>
          <w:szCs w:val="24"/>
          <w:lang w:eastAsia="ar-SA"/>
        </w:rPr>
        <w:t xml:space="preserve"> L = 770</w:t>
      </w: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quality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3B24E8" w:rsidRPr="008D0140" w14:paraId="383C5452" w14:textId="77777777" w:rsidTr="001A491A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9038D8" w14:textId="77777777" w:rsidR="003B24E8" w:rsidRPr="00321836" w:rsidRDefault="003B24E8" w:rsidP="001A491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14:paraId="27E18A8A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</w:tcPr>
          <w:p w14:paraId="128CA255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3B24E8" w:rsidRPr="008D0140" w14:paraId="3DED43CF" w14:textId="77777777" w:rsidTr="003B24E8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14:paraId="7D7BA587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0B8A20C9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4D18727F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2653894" w14:textId="77777777" w:rsidTr="003B24E8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524F359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3C7B01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5EBAE161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68BEA4AF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3866A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EC6C2D3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</w:tcPr>
          <w:p w14:paraId="3A2CEE4C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45258E5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C0CDEC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3A8DCB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2027DCE7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5E0D194" w14:textId="77777777" w:rsidTr="003B24E8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6290DE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0007200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2C6550FD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121C0DBA" w14:textId="77777777" w:rsidTr="003B24E8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CD4EFCF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7000B841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66A99092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1219AF6A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947667F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2333EC62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</w:tcPr>
          <w:p w14:paraId="1A0021B4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E6B31BF" w14:textId="77777777" w:rsidR="003B24E8" w:rsidRPr="003B24E8" w:rsidRDefault="003B24E8" w:rsidP="003B24E8">
      <w:pPr>
        <w:suppressAutoHyphens/>
        <w:rPr>
          <w:rFonts w:ascii="Calibri" w:hAnsi="Calibri" w:cs="Calibri"/>
          <w:bCs/>
          <w:i/>
          <w:lang w:eastAsia="ar-SA"/>
        </w:rPr>
      </w:pPr>
    </w:p>
    <w:p w14:paraId="0EA5EFDD" w14:textId="77777777" w:rsidR="003B24E8" w:rsidRPr="003B24E8" w:rsidRDefault="003B24E8" w:rsidP="003B24E8">
      <w:pPr>
        <w:suppressAutoHyphens/>
        <w:rPr>
          <w:rFonts w:ascii="Calibri" w:hAnsi="Calibri" w:cs="Calibri"/>
          <w:bCs/>
          <w:i/>
          <w:lang w:eastAsia="ar-SA"/>
        </w:rPr>
      </w:pPr>
    </w:p>
    <w:p w14:paraId="0EEFB9F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DBE19E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eastAsia="pl-PL"/>
        </w:rPr>
        <w:t xml:space="preserve">                                                                                   </w:t>
      </w: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Pr="003B4FAE">
        <w:rPr>
          <w:rFonts w:asciiTheme="minorHAnsi" w:hAnsiTheme="minorHAnsi" w:cstheme="minorHAnsi"/>
          <w:b/>
          <w:bCs/>
        </w:rPr>
        <w:br w:type="column"/>
      </w:r>
    </w:p>
    <w:p w14:paraId="20F4F00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14910A3A" w14:textId="77777777" w:rsidR="00962F3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01B">
        <w:rPr>
          <w:rFonts w:asciiTheme="minorHAnsi" w:hAnsiTheme="minorHAnsi" w:cstheme="minorHAnsi"/>
          <w:b/>
          <w:bCs/>
          <w:sz w:val="22"/>
          <w:szCs w:val="22"/>
        </w:rPr>
        <w:t>Dostawa falowodów do zasilenia struktury akceleracyjnej w docelowej lokalizacji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4210E4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52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508EA8AF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0BEA21B6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01BF851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3C1213EB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C92E5B5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A83013B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1ED32248" w14:textId="77777777" w:rsidR="00962F33" w:rsidRPr="00FA374A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</w:t>
      </w:r>
      <w:r>
        <w:rPr>
          <w:rFonts w:asciiTheme="minorHAnsi" w:hAnsiTheme="minorHAnsi" w:cstheme="minorHAnsi"/>
          <w:spacing w:val="4"/>
        </w:rPr>
        <w:t>21  r. poz. 1129</w:t>
      </w:r>
      <w:r w:rsidRPr="008D4F73">
        <w:rPr>
          <w:rFonts w:asciiTheme="minorHAnsi" w:hAnsiTheme="minorHAnsi" w:cstheme="minorHAnsi"/>
          <w:spacing w:val="4"/>
        </w:rPr>
        <w:t>);</w:t>
      </w:r>
    </w:p>
    <w:p w14:paraId="24D6E293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62BEE0A4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4FBCD91B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5014D9E" w14:textId="77777777" w:rsidR="00A61EE0" w:rsidRDefault="00A61EE0"/>
    <w:sectPr w:rsidR="00A61E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D2FD" w14:textId="77777777" w:rsidR="00F824FC" w:rsidRDefault="00F824FC" w:rsidP="00962F33">
      <w:r>
        <w:separator/>
      </w:r>
    </w:p>
  </w:endnote>
  <w:endnote w:type="continuationSeparator" w:id="0">
    <w:p w14:paraId="340E7E01" w14:textId="77777777" w:rsidR="00F824FC" w:rsidRDefault="00F824FC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2E395AF9" w:rsidR="00075A81" w:rsidRDefault="00075A8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15859">
      <w:rPr>
        <w:rStyle w:val="Numerstrony"/>
        <w:rFonts w:ascii="Verdana" w:hAnsi="Verdana" w:cs="Verdana"/>
        <w:b/>
        <w:bCs/>
        <w:noProof/>
      </w:rPr>
      <w:t>30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40DA" w14:textId="77777777" w:rsidR="00F824FC" w:rsidRDefault="00F824FC" w:rsidP="00962F33">
      <w:r>
        <w:separator/>
      </w:r>
    </w:p>
  </w:footnote>
  <w:footnote w:type="continuationSeparator" w:id="0">
    <w:p w14:paraId="042480CE" w14:textId="77777777" w:rsidR="00F824FC" w:rsidRDefault="00F824FC" w:rsidP="00962F33">
      <w:r>
        <w:continuationSeparator/>
      </w:r>
    </w:p>
  </w:footnote>
  <w:footnote w:id="1">
    <w:p w14:paraId="34CF9D91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2">
    <w:p w14:paraId="1BDC87DD" w14:textId="77777777" w:rsidR="00075A81" w:rsidRDefault="00075A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2019 r. poz. 2019 ze zm.)</w:t>
      </w:r>
    </w:p>
  </w:footnote>
  <w:footnote w:id="4">
    <w:p w14:paraId="3255231D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075A81" w:rsidRDefault="00075A81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5">
    <w:p w14:paraId="79BDE1D2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6">
    <w:p w14:paraId="048D3040" w14:textId="77777777" w:rsidR="00075A81" w:rsidRPr="00DC4C42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7">
    <w:p w14:paraId="3780BD93" w14:textId="77777777" w:rsidR="00075A81" w:rsidRDefault="00075A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8">
    <w:p w14:paraId="60F57E53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9">
    <w:p w14:paraId="44FC32C2" w14:textId="77777777" w:rsidR="00075A81" w:rsidRDefault="00075A81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075A81" w:rsidRDefault="00075A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075A81" w:rsidRPr="00874DFA" w:rsidRDefault="00075A81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075A81" w:rsidRDefault="00075A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075A81" w:rsidRDefault="00075A81" w:rsidP="00962F33">
      <w:pPr>
        <w:pStyle w:val="Tekstprzypisudolnego"/>
      </w:pPr>
    </w:p>
  </w:footnote>
  <w:footnote w:id="10">
    <w:p w14:paraId="6C728FBD" w14:textId="77777777" w:rsidR="00075A81" w:rsidRPr="002F6DD9" w:rsidRDefault="00075A81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2013FB9" w14:textId="77777777" w:rsidR="00075A81" w:rsidRPr="002F6DD9" w:rsidRDefault="00075A81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77777777" w:rsidR="00075A81" w:rsidRDefault="00075A81">
    <w:pPr>
      <w:pStyle w:val="Nagwek"/>
    </w:pPr>
    <w:r>
      <w:rPr>
        <w:noProof/>
      </w:rPr>
      <w:drawing>
        <wp:inline distT="0" distB="0" distL="0" distR="0" wp14:anchorId="5CEC03C5" wp14:editId="65597AF9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01A3712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238080E"/>
    <w:multiLevelType w:val="hybridMultilevel"/>
    <w:tmpl w:val="25F6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7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25"/>
  </w:num>
  <w:num w:numId="10">
    <w:abstractNumId w:val="4"/>
  </w:num>
  <w:num w:numId="11">
    <w:abstractNumId w:val="23"/>
  </w:num>
  <w:num w:numId="12">
    <w:abstractNumId w:val="18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22"/>
  </w:num>
  <w:num w:numId="18">
    <w:abstractNumId w:val="13"/>
  </w:num>
  <w:num w:numId="19">
    <w:abstractNumId w:val="21"/>
  </w:num>
  <w:num w:numId="20">
    <w:abstractNumId w:val="16"/>
  </w:num>
  <w:num w:numId="21">
    <w:abstractNumId w:val="3"/>
  </w:num>
  <w:num w:numId="22">
    <w:abstractNumId w:val="24"/>
  </w:num>
  <w:num w:numId="23">
    <w:abstractNumId w:val="2"/>
  </w:num>
  <w:num w:numId="24">
    <w:abstractNumId w:val="8"/>
  </w:num>
  <w:num w:numId="25">
    <w:abstractNumId w:val="15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46750"/>
    <w:rsid w:val="0006291F"/>
    <w:rsid w:val="00075A81"/>
    <w:rsid w:val="000D550A"/>
    <w:rsid w:val="00136A0D"/>
    <w:rsid w:val="001840AF"/>
    <w:rsid w:val="001A491A"/>
    <w:rsid w:val="00233EA8"/>
    <w:rsid w:val="003437F0"/>
    <w:rsid w:val="003B24E8"/>
    <w:rsid w:val="00463C8D"/>
    <w:rsid w:val="004E43A9"/>
    <w:rsid w:val="005016EF"/>
    <w:rsid w:val="00515859"/>
    <w:rsid w:val="00536B03"/>
    <w:rsid w:val="00567B77"/>
    <w:rsid w:val="0059746D"/>
    <w:rsid w:val="005F3304"/>
    <w:rsid w:val="00721367"/>
    <w:rsid w:val="0078628A"/>
    <w:rsid w:val="00832B6F"/>
    <w:rsid w:val="00836EFC"/>
    <w:rsid w:val="00962F33"/>
    <w:rsid w:val="00A61EE0"/>
    <w:rsid w:val="00AC1DD2"/>
    <w:rsid w:val="00BF4DDB"/>
    <w:rsid w:val="00C328B0"/>
    <w:rsid w:val="00CD4C7E"/>
    <w:rsid w:val="00D67205"/>
    <w:rsid w:val="00DA7D20"/>
    <w:rsid w:val="00E01EF9"/>
    <w:rsid w:val="00E725EE"/>
    <w:rsid w:val="00F824FC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cbj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AB98-767A-4516-972D-C0AB6C89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9189</Words>
  <Characters>55140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</cp:revision>
  <dcterms:created xsi:type="dcterms:W3CDTF">2021-10-29T09:35:00Z</dcterms:created>
  <dcterms:modified xsi:type="dcterms:W3CDTF">2021-10-29T11:55:00Z</dcterms:modified>
</cp:coreProperties>
</file>