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58441F">
        <w:rPr>
          <w:bCs/>
          <w:sz w:val="22"/>
        </w:rPr>
        <w:t>.40.</w:t>
      </w:r>
      <w:r w:rsidRPr="00C74546">
        <w:rPr>
          <w:bCs/>
          <w:sz w:val="22"/>
        </w:rPr>
        <w:t>202</w:t>
      </w:r>
      <w:r w:rsidR="00C940EB">
        <w:rPr>
          <w:bCs/>
          <w:sz w:val="22"/>
        </w:rPr>
        <w:t>2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58441F" w:rsidRDefault="0058441F" w:rsidP="0058441F">
      <w:pPr>
        <w:jc w:val="center"/>
        <w:rPr>
          <w:b/>
          <w:sz w:val="22"/>
        </w:rPr>
      </w:pPr>
      <w:bookmarkStart w:id="0" w:name="_Hlk98159791"/>
      <w:r w:rsidRPr="0058441F">
        <w:rPr>
          <w:b/>
          <w:sz w:val="22"/>
        </w:rPr>
        <w:t>Dostaw</w:t>
      </w:r>
      <w:r w:rsidR="009725AD">
        <w:rPr>
          <w:b/>
          <w:sz w:val="22"/>
        </w:rPr>
        <w:t>a</w:t>
      </w:r>
      <w:r w:rsidRPr="0058441F">
        <w:rPr>
          <w:b/>
          <w:sz w:val="22"/>
        </w:rPr>
        <w:t xml:space="preserve"> licencji pakietu biurowego</w:t>
      </w:r>
    </w:p>
    <w:bookmarkEnd w:id="0"/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58441F">
        <w:rPr>
          <w:sz w:val="22"/>
        </w:rPr>
        <w:t>2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D23523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58441F">
        <w:rPr>
          <w:b/>
          <w:bCs/>
          <w:sz w:val="22"/>
        </w:rPr>
        <w:t>.40</w:t>
      </w:r>
      <w:r>
        <w:rPr>
          <w:b/>
          <w:bCs/>
          <w:sz w:val="22"/>
        </w:rPr>
        <w:t>.202</w:t>
      </w:r>
      <w:r w:rsidR="00C940EB">
        <w:rPr>
          <w:b/>
          <w:bCs/>
          <w:sz w:val="22"/>
        </w:rPr>
        <w:t>2</w:t>
      </w:r>
    </w:p>
    <w:p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001F1" w:rsidRPr="00812F48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58441F">
        <w:rPr>
          <w:b w:val="0"/>
          <w:snapToGrid w:val="0"/>
          <w:sz w:val="22"/>
          <w:szCs w:val="22"/>
        </w:rPr>
        <w:t xml:space="preserve"> d</w:t>
      </w:r>
      <w:r w:rsidR="0058441F" w:rsidRPr="0058441F">
        <w:rPr>
          <w:b w:val="0"/>
          <w:snapToGrid w:val="0"/>
          <w:sz w:val="22"/>
          <w:szCs w:val="22"/>
        </w:rPr>
        <w:t>ostaw</w:t>
      </w:r>
      <w:r w:rsidR="00141B24">
        <w:rPr>
          <w:b w:val="0"/>
          <w:snapToGrid w:val="0"/>
          <w:sz w:val="22"/>
          <w:szCs w:val="22"/>
        </w:rPr>
        <w:t>a</w:t>
      </w:r>
      <w:r w:rsidR="0058441F" w:rsidRPr="0058441F">
        <w:rPr>
          <w:b w:val="0"/>
          <w:snapToGrid w:val="0"/>
          <w:sz w:val="22"/>
          <w:szCs w:val="22"/>
        </w:rPr>
        <w:t xml:space="preserve"> licencji pakietu biurowego</w:t>
      </w:r>
      <w:r w:rsidR="0058441F">
        <w:rPr>
          <w:b w:val="0"/>
          <w:snapToGrid w:val="0"/>
          <w:sz w:val="22"/>
          <w:szCs w:val="22"/>
        </w:rPr>
        <w:t xml:space="preserve"> - 2</w:t>
      </w:r>
      <w:r w:rsidR="00D929D1">
        <w:rPr>
          <w:b w:val="0"/>
          <w:snapToGrid w:val="0"/>
          <w:sz w:val="22"/>
          <w:szCs w:val="22"/>
        </w:rPr>
        <w:t>40 licencji na potrzeby Urzędu M</w:t>
      </w:r>
      <w:r w:rsidR="0058441F">
        <w:rPr>
          <w:b w:val="0"/>
          <w:snapToGrid w:val="0"/>
          <w:sz w:val="22"/>
          <w:szCs w:val="22"/>
        </w:rPr>
        <w:t>arszałkowskiego Województwa Warmińsko-Mazurskiego.</w:t>
      </w:r>
    </w:p>
    <w:p w:rsidR="009001F1" w:rsidRPr="00812F48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58441F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58441F">
        <w:rPr>
          <w:b w:val="0"/>
          <w:snapToGrid w:val="0"/>
          <w:sz w:val="22"/>
          <w:szCs w:val="22"/>
        </w:rPr>
        <w:t xml:space="preserve"> SWZ.</w:t>
      </w:r>
    </w:p>
    <w:p w:rsidR="009001F1" w:rsidRPr="0058441F" w:rsidRDefault="009001F1" w:rsidP="0058441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58441F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58441F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58441F" w:rsidRPr="00C91D71" w:rsidRDefault="0058441F" w:rsidP="0058441F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color w:val="000000"/>
          <w:sz w:val="22"/>
        </w:rPr>
        <w:t>48700000-5 – Pakiety oprogramowania użytkowego</w:t>
      </w:r>
    </w:p>
    <w:p w:rsidR="009001F1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</w:t>
      </w:r>
      <w:r w:rsidR="0058441F">
        <w:rPr>
          <w:sz w:val="22"/>
        </w:rPr>
        <w:t>.</w:t>
      </w:r>
    </w:p>
    <w:p w:rsidR="006D27AC" w:rsidRPr="0058441F" w:rsidRDefault="006D27AC" w:rsidP="0058441F">
      <w:pPr>
        <w:tabs>
          <w:tab w:val="left" w:pos="284"/>
        </w:tabs>
        <w:spacing w:before="26" w:after="0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696DCD" w:rsidRPr="0058441F" w:rsidRDefault="007A3C94" w:rsidP="0058441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58441F">
        <w:rPr>
          <w:sz w:val="22"/>
        </w:rPr>
        <w:t>10 dni roboczych od  dnia zawarcia umowy.</w:t>
      </w:r>
    </w:p>
    <w:p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50E11" w:rsidRDefault="00450E11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9508E" w:rsidRDefault="00CC0CAA" w:rsidP="0089508E">
      <w:pPr>
        <w:pStyle w:val="Tekstpodstawowy"/>
        <w:numPr>
          <w:ilvl w:val="0"/>
          <w:numId w:val="59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wykluczenia. </w:t>
      </w:r>
    </w:p>
    <w:p w:rsidR="0089508E" w:rsidRPr="0089508E" w:rsidRDefault="0089508E" w:rsidP="0089508E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89508E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FD59BA" w:rsidRDefault="00387A51" w:rsidP="00387A51">
      <w:pPr>
        <w:pStyle w:val="Akapitzlist"/>
        <w:numPr>
          <w:ilvl w:val="0"/>
          <w:numId w:val="5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potwierdzają brak podstaw wykluczenia.</w:t>
      </w:r>
    </w:p>
    <w:p w:rsidR="00387A51" w:rsidRPr="00387A51" w:rsidRDefault="00387A51" w:rsidP="00387A51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lastRenderedPageBreak/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</w:t>
      </w:r>
      <w:proofErr w:type="spellStart"/>
      <w:r w:rsidRPr="00971C0B">
        <w:rPr>
          <w:sz w:val="22"/>
        </w:rPr>
        <w:t>Pzp</w:t>
      </w:r>
      <w:proofErr w:type="spellEnd"/>
      <w:r w:rsidRPr="00971C0B">
        <w:rPr>
          <w:sz w:val="22"/>
        </w:rPr>
        <w:t xml:space="preserve">. </w:t>
      </w:r>
    </w:p>
    <w:p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>amawiającemu, że spełnił łącznie przesłanki określone w art. 110 ust. 2 ustawy Pzp.</w:t>
      </w:r>
    </w:p>
    <w:p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58441F" w:rsidRDefault="00161342" w:rsidP="005844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:rsidR="003F2F74" w:rsidRPr="0058441F" w:rsidRDefault="00161342" w:rsidP="005844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8B52ED">
        <w:rPr>
          <w:bCs/>
          <w:color w:val="FF0000"/>
          <w:sz w:val="22"/>
        </w:rPr>
        <w:t xml:space="preserve">  </w:t>
      </w: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C103EF">
      <w:pPr>
        <w:pStyle w:val="Akapitzlist"/>
        <w:numPr>
          <w:ilvl w:val="0"/>
          <w:numId w:val="47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8F2798" w:rsidRPr="003C53CB">
        <w:rPr>
          <w:color w:val="000000"/>
          <w:sz w:val="22"/>
        </w:rPr>
        <w:t>w</w:t>
      </w:r>
      <w:r w:rsidR="003B515A">
        <w:rPr>
          <w:color w:val="000000"/>
          <w:sz w:val="22"/>
        </w:rPr>
        <w:t>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 :</w:t>
      </w:r>
    </w:p>
    <w:p w:rsidR="00AD1FC8" w:rsidRPr="00FB445A" w:rsidRDefault="00AD1FC8" w:rsidP="00C103EF">
      <w:pPr>
        <w:pStyle w:val="Akapitzlist"/>
        <w:numPr>
          <w:ilvl w:val="0"/>
          <w:numId w:val="48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C103EF">
      <w:pPr>
        <w:pStyle w:val="Akapitzlist"/>
        <w:numPr>
          <w:ilvl w:val="0"/>
          <w:numId w:val="49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:rsidR="00AD1FC8" w:rsidRPr="00FB445A" w:rsidRDefault="00AD1FC8" w:rsidP="00C103EF">
      <w:pPr>
        <w:pStyle w:val="Akapitzlist"/>
        <w:numPr>
          <w:ilvl w:val="0"/>
          <w:numId w:val="49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C103EF">
      <w:pPr>
        <w:pStyle w:val="Akapitzlist"/>
        <w:numPr>
          <w:ilvl w:val="0"/>
          <w:numId w:val="48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294118">
      <w:pPr>
        <w:pStyle w:val="Akapitzlist"/>
        <w:numPr>
          <w:ilvl w:val="0"/>
          <w:numId w:val="48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lastRenderedPageBreak/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294118" w:rsidRDefault="00294118" w:rsidP="00294118">
      <w:pPr>
        <w:pStyle w:val="Akapitzlist"/>
        <w:numPr>
          <w:ilvl w:val="0"/>
          <w:numId w:val="50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:rsidR="00AD1FC8" w:rsidRPr="00C103EF" w:rsidRDefault="00AD1FC8" w:rsidP="0058441F">
      <w:pPr>
        <w:pStyle w:val="Akapitzlist"/>
        <w:numPr>
          <w:ilvl w:val="0"/>
          <w:numId w:val="51"/>
        </w:numPr>
        <w:spacing w:before="26" w:after="0" w:line="360" w:lineRule="auto"/>
        <w:ind w:left="1134" w:hanging="425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C228CD">
      <w:pPr>
        <w:pStyle w:val="Akapitzlist"/>
        <w:numPr>
          <w:ilvl w:val="0"/>
          <w:numId w:val="52"/>
        </w:numPr>
        <w:spacing w:before="26" w:after="0" w:line="360" w:lineRule="auto"/>
        <w:ind w:left="1560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C103EF" w:rsidRDefault="00AD1FC8" w:rsidP="0058441F">
      <w:pPr>
        <w:pStyle w:val="Akapitzlist"/>
        <w:numPr>
          <w:ilvl w:val="0"/>
          <w:numId w:val="53"/>
        </w:numPr>
        <w:spacing w:before="26" w:after="0" w:line="360" w:lineRule="auto"/>
        <w:ind w:left="1134" w:hanging="425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58441F">
      <w:pPr>
        <w:pStyle w:val="Akapitzlist"/>
        <w:numPr>
          <w:ilvl w:val="0"/>
          <w:numId w:val="53"/>
        </w:numPr>
        <w:spacing w:before="26" w:after="0" w:line="360" w:lineRule="auto"/>
        <w:ind w:left="1134" w:hanging="425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58441F">
      <w:pPr>
        <w:pStyle w:val="Akapitzlist"/>
        <w:numPr>
          <w:ilvl w:val="0"/>
          <w:numId w:val="56"/>
        </w:numPr>
        <w:spacing w:before="26" w:after="0" w:line="360" w:lineRule="auto"/>
        <w:ind w:left="1134" w:hanging="425"/>
        <w:jc w:val="both"/>
        <w:rPr>
          <w:sz w:val="22"/>
        </w:rPr>
      </w:pPr>
      <w:r w:rsidRPr="003D65CC">
        <w:rPr>
          <w:color w:val="000000"/>
          <w:sz w:val="22"/>
        </w:rPr>
        <w:t xml:space="preserve"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</w:t>
      </w:r>
      <w:r w:rsidRPr="003D65CC">
        <w:rPr>
          <w:color w:val="000000"/>
          <w:sz w:val="22"/>
        </w:rPr>
        <w:lastRenderedPageBreak/>
        <w:t>certyfikacji, chyba że zamawiający ma uzasadnione podstawy do zakwestionowania informacji wynikających z zaświadczenia lub certyfikatu.</w:t>
      </w:r>
    </w:p>
    <w:p w:rsidR="00AD1FC8" w:rsidRPr="003D65CC" w:rsidRDefault="00AD1FC8" w:rsidP="0058441F">
      <w:pPr>
        <w:pStyle w:val="Akapitzlist"/>
        <w:numPr>
          <w:ilvl w:val="0"/>
          <w:numId w:val="56"/>
        </w:numPr>
        <w:spacing w:before="26" w:after="0" w:line="360" w:lineRule="auto"/>
        <w:ind w:left="1134" w:hanging="425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450E11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ED41E3" w:rsidRDefault="00ED41E3" w:rsidP="003F2F74">
      <w:pPr>
        <w:pStyle w:val="Akapitzlist"/>
        <w:rPr>
          <w:b/>
          <w:sz w:val="22"/>
        </w:rPr>
      </w:pP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450E11" w:rsidRPr="00C74546" w:rsidRDefault="00450E1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228CD" w:rsidRDefault="00ED41E3" w:rsidP="00C228CD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103C5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C228CD">
        <w:rPr>
          <w:color w:val="000000" w:themeColor="text1"/>
          <w:sz w:val="22"/>
        </w:rPr>
        <w:t>Ewa Klimczak</w:t>
      </w:r>
      <w:r w:rsidRPr="0064583B">
        <w:rPr>
          <w:color w:val="000000" w:themeColor="text1"/>
          <w:sz w:val="22"/>
        </w:rPr>
        <w:t xml:space="preserve">, </w:t>
      </w:r>
      <w:r w:rsidR="00C228CD">
        <w:rPr>
          <w:color w:val="000000" w:themeColor="text1"/>
          <w:sz w:val="22"/>
        </w:rPr>
        <w:t xml:space="preserve">           </w:t>
      </w:r>
      <w:r w:rsidRPr="0064583B">
        <w:rPr>
          <w:color w:val="000000" w:themeColor="text1"/>
          <w:sz w:val="22"/>
        </w:rPr>
        <w:t xml:space="preserve">tel. </w:t>
      </w:r>
      <w:r w:rsidR="00C228CD">
        <w:rPr>
          <w:color w:val="000000" w:themeColor="text1"/>
          <w:sz w:val="22"/>
        </w:rPr>
        <w:t>89 52 19 845.</w:t>
      </w:r>
    </w:p>
    <w:p w:rsidR="00161342" w:rsidRPr="0064583B" w:rsidRDefault="00161342" w:rsidP="00103C56">
      <w:pPr>
        <w:pStyle w:val="Akapitzlist"/>
        <w:numPr>
          <w:ilvl w:val="0"/>
          <w:numId w:val="1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</w:t>
      </w:r>
      <w:r w:rsidR="00C228CD">
        <w:rPr>
          <w:color w:val="000000"/>
          <w:sz w:val="22"/>
        </w:rPr>
        <w:t xml:space="preserve">                      </w:t>
      </w:r>
      <w:r w:rsidRPr="00FB667A">
        <w:rPr>
          <w:color w:val="000000"/>
          <w:sz w:val="22"/>
        </w:rPr>
        <w:t xml:space="preserve"> </w:t>
      </w:r>
      <w:r w:rsidR="0067262D" w:rsidRPr="0067262D">
        <w:rPr>
          <w:b/>
          <w:color w:val="000000"/>
          <w:sz w:val="22"/>
        </w:rPr>
        <w:t>10.08.</w:t>
      </w:r>
      <w:r w:rsidRPr="00FB667A">
        <w:rPr>
          <w:b/>
          <w:color w:val="000000"/>
          <w:sz w:val="22"/>
        </w:rPr>
        <w:t>202</w:t>
      </w:r>
      <w:r w:rsidR="00C228CD">
        <w:rPr>
          <w:b/>
          <w:color w:val="000000"/>
          <w:sz w:val="22"/>
        </w:rPr>
        <w:t>2</w:t>
      </w:r>
      <w:r w:rsidRPr="00FB667A">
        <w:rPr>
          <w:b/>
          <w:color w:val="00000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1B297B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103C56">
      <w:pPr>
        <w:pStyle w:val="u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228CD" w:rsidRPr="00C228CD" w:rsidRDefault="00161342" w:rsidP="00103C56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sz w:val="22"/>
          <w:szCs w:val="22"/>
        </w:rPr>
      </w:pPr>
      <w:r w:rsidRPr="00C228CD">
        <w:rPr>
          <w:color w:val="000000"/>
          <w:sz w:val="22"/>
          <w:szCs w:val="22"/>
        </w:rPr>
        <w:t xml:space="preserve"> </w:t>
      </w:r>
      <w:r w:rsidRPr="00C228CD">
        <w:rPr>
          <w:b/>
          <w:color w:val="000000"/>
          <w:sz w:val="22"/>
          <w:szCs w:val="22"/>
        </w:rPr>
        <w:t>Formularz ofertowy</w:t>
      </w:r>
      <w:r w:rsidRPr="00C228CD">
        <w:rPr>
          <w:color w:val="000000"/>
          <w:sz w:val="22"/>
          <w:szCs w:val="22"/>
        </w:rPr>
        <w:t xml:space="preserve">  – zgodnie ze wzorem stanowiącym załącznik nr </w:t>
      </w:r>
      <w:r w:rsidR="00C228CD" w:rsidRPr="00C228CD">
        <w:rPr>
          <w:color w:val="000000"/>
          <w:sz w:val="22"/>
          <w:szCs w:val="22"/>
        </w:rPr>
        <w:t>2</w:t>
      </w:r>
      <w:r w:rsidRPr="00C228CD">
        <w:rPr>
          <w:color w:val="000000"/>
          <w:sz w:val="22"/>
          <w:szCs w:val="22"/>
        </w:rPr>
        <w:t xml:space="preserve"> do SWZ;</w:t>
      </w:r>
    </w:p>
    <w:p w:rsidR="00161342" w:rsidRPr="00C228CD" w:rsidRDefault="00161342" w:rsidP="00103C56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sz w:val="22"/>
          <w:szCs w:val="22"/>
        </w:rPr>
      </w:pPr>
      <w:r w:rsidRPr="00C228CD">
        <w:rPr>
          <w:color w:val="000000"/>
          <w:sz w:val="22"/>
          <w:szCs w:val="22"/>
        </w:rPr>
        <w:t xml:space="preserve"> </w:t>
      </w:r>
      <w:r w:rsidRPr="00C228CD">
        <w:rPr>
          <w:b/>
          <w:sz w:val="22"/>
          <w:szCs w:val="22"/>
        </w:rPr>
        <w:t>Pełnomocnictwo</w:t>
      </w:r>
      <w:r w:rsidRPr="00C228CD">
        <w:rPr>
          <w:sz w:val="22"/>
          <w:szCs w:val="22"/>
        </w:rPr>
        <w:t xml:space="preserve"> -  </w:t>
      </w:r>
      <w:r w:rsidRPr="00C228CD">
        <w:rPr>
          <w:b/>
          <w:i/>
          <w:iCs/>
          <w:sz w:val="22"/>
          <w:szCs w:val="22"/>
        </w:rPr>
        <w:t>jeżeli zostało udzielone.</w:t>
      </w:r>
    </w:p>
    <w:p w:rsidR="00161342" w:rsidRPr="004E2B8D" w:rsidRDefault="00161342" w:rsidP="00103C56">
      <w:pPr>
        <w:pStyle w:val="Tekstpodstawowy"/>
        <w:numPr>
          <w:ilvl w:val="0"/>
          <w:numId w:val="14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103C56">
      <w:pPr>
        <w:pStyle w:val="Tekstpodstawowy"/>
        <w:numPr>
          <w:ilvl w:val="0"/>
          <w:numId w:val="14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326B0D">
      <w:pPr>
        <w:pStyle w:val="Akapitzlist"/>
        <w:numPr>
          <w:ilvl w:val="0"/>
          <w:numId w:val="14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326B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</w:t>
      </w:r>
      <w:r w:rsidRPr="00D53CC4">
        <w:rPr>
          <w:sz w:val="22"/>
        </w:rPr>
        <w:lastRenderedPageBreak/>
        <w:t xml:space="preserve">podmiot udostępniający zasoby lub podwykonawca, zwane dalej "upoważnionymi podmiotami", jako dokument elektroniczny, przekazuje się ten dokument. </w:t>
      </w:r>
    </w:p>
    <w:p w:rsidR="00161342" w:rsidRPr="00231C0C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niewystawione przez upoważnione podmioty lub pełnomocnictwo, zostały sporządzone jako dokument w postaci papierowej i opatrzone własnoręcznym podpisem, przekazuje się cyfrowe </w:t>
      </w:r>
      <w:r w:rsidRPr="003C5710">
        <w:rPr>
          <w:sz w:val="22"/>
        </w:rPr>
        <w:lastRenderedPageBreak/>
        <w:t>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326B0D">
      <w:pPr>
        <w:pStyle w:val="Akapitzlist"/>
        <w:numPr>
          <w:ilvl w:val="0"/>
          <w:numId w:val="14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326B0D">
      <w:pPr>
        <w:pStyle w:val="pkt1"/>
        <w:numPr>
          <w:ilvl w:val="0"/>
          <w:numId w:val="14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 xml:space="preserve">ykonawca, wraz z przekazaniem takich informacji, zastrzegł, że nie mogą być one udostępniane oraz wykazał, że zastrzeżone informacje stanowią tajemnicę </w:t>
      </w:r>
      <w:r w:rsidRPr="009671A6">
        <w:rPr>
          <w:sz w:val="22"/>
          <w:szCs w:val="22"/>
        </w:rPr>
        <w:lastRenderedPageBreak/>
        <w:t>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103C56">
      <w:pPr>
        <w:pStyle w:val="pkt1"/>
        <w:numPr>
          <w:ilvl w:val="0"/>
          <w:numId w:val="2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103C56">
      <w:pPr>
        <w:pStyle w:val="pkt1"/>
        <w:numPr>
          <w:ilvl w:val="0"/>
          <w:numId w:val="2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5F7B18">
        <w:rPr>
          <w:b/>
          <w:color w:val="0000FF"/>
          <w:sz w:val="22"/>
          <w:szCs w:val="22"/>
        </w:rPr>
        <w:t>13.05.</w:t>
      </w:r>
      <w:r w:rsidRPr="003E3F4F">
        <w:rPr>
          <w:b/>
          <w:color w:val="0000FF"/>
          <w:sz w:val="22"/>
          <w:szCs w:val="22"/>
        </w:rPr>
        <w:t>202</w:t>
      </w:r>
      <w:r w:rsidR="00C228CD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103C5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103C5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103C56">
      <w:pPr>
        <w:pStyle w:val="pkt1"/>
        <w:numPr>
          <w:ilvl w:val="0"/>
          <w:numId w:val="2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103C56">
      <w:pPr>
        <w:pStyle w:val="pkt1"/>
        <w:numPr>
          <w:ilvl w:val="0"/>
          <w:numId w:val="2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103C56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103C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103C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C228CD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C228CD" w:rsidRDefault="009F69EA" w:rsidP="00103C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color w:val="0000FF"/>
          <w:sz w:val="22"/>
        </w:rPr>
      </w:pPr>
      <w:r w:rsidRPr="008352DB">
        <w:rPr>
          <w:sz w:val="22"/>
        </w:rPr>
        <w:t xml:space="preserve">Otwarcie ofert nastąpi </w:t>
      </w:r>
      <w:r w:rsidRPr="00C228CD">
        <w:rPr>
          <w:b/>
          <w:color w:val="0000FF"/>
          <w:sz w:val="22"/>
        </w:rPr>
        <w:t xml:space="preserve">w dniu </w:t>
      </w:r>
      <w:r w:rsidR="005F7B18">
        <w:rPr>
          <w:b/>
          <w:color w:val="0000FF"/>
          <w:sz w:val="22"/>
        </w:rPr>
        <w:t>13.05.2022 r.</w:t>
      </w:r>
      <w:bookmarkStart w:id="1" w:name="_GoBack"/>
      <w:bookmarkEnd w:id="1"/>
      <w:r w:rsidRPr="00C228CD">
        <w:rPr>
          <w:b/>
          <w:color w:val="0000FF"/>
          <w:sz w:val="22"/>
        </w:rPr>
        <w:t xml:space="preserve"> o godzinie </w:t>
      </w:r>
      <w:r w:rsidR="00C228CD">
        <w:rPr>
          <w:b/>
          <w:color w:val="0000FF"/>
          <w:sz w:val="22"/>
        </w:rPr>
        <w:t>10:10.</w:t>
      </w:r>
    </w:p>
    <w:p w:rsidR="009F69EA" w:rsidRPr="008352DB" w:rsidRDefault="009F69EA" w:rsidP="00103C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103C56">
      <w:pPr>
        <w:pStyle w:val="Akapitzlist"/>
        <w:numPr>
          <w:ilvl w:val="0"/>
          <w:numId w:val="2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103C56">
      <w:pPr>
        <w:pStyle w:val="Akapitzlist"/>
        <w:numPr>
          <w:ilvl w:val="0"/>
          <w:numId w:val="2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9F69EA" w:rsidRPr="00C228CD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C228CD">
        <w:rPr>
          <w:color w:val="000000"/>
          <w:sz w:val="22"/>
          <w:szCs w:val="22"/>
        </w:rPr>
        <w:lastRenderedPageBreak/>
        <w:t>Cen</w:t>
      </w:r>
      <w:r w:rsidR="00450E11">
        <w:rPr>
          <w:color w:val="000000"/>
          <w:sz w:val="22"/>
          <w:szCs w:val="22"/>
        </w:rPr>
        <w:t>a</w:t>
      </w:r>
      <w:r w:rsidRPr="00C228CD">
        <w:rPr>
          <w:color w:val="000000"/>
          <w:sz w:val="22"/>
          <w:szCs w:val="22"/>
        </w:rPr>
        <w:t xml:space="preserve"> jednostkow</w:t>
      </w:r>
      <w:r w:rsidR="00450E11">
        <w:rPr>
          <w:color w:val="000000"/>
          <w:sz w:val="22"/>
          <w:szCs w:val="22"/>
        </w:rPr>
        <w:t>a</w:t>
      </w:r>
      <w:r w:rsidRPr="00C228CD">
        <w:rPr>
          <w:color w:val="000000"/>
          <w:sz w:val="22"/>
          <w:szCs w:val="22"/>
        </w:rPr>
        <w:t xml:space="preserve"> złożon</w:t>
      </w:r>
      <w:r w:rsidR="00450E11">
        <w:rPr>
          <w:color w:val="000000"/>
          <w:sz w:val="22"/>
          <w:szCs w:val="22"/>
        </w:rPr>
        <w:t>a</w:t>
      </w:r>
      <w:r w:rsidRPr="00C228CD">
        <w:rPr>
          <w:color w:val="000000"/>
          <w:sz w:val="22"/>
          <w:szCs w:val="22"/>
        </w:rPr>
        <w:t xml:space="preserve"> w ofercie nie mo</w:t>
      </w:r>
      <w:r w:rsidR="00450E11">
        <w:rPr>
          <w:color w:val="000000"/>
          <w:sz w:val="22"/>
          <w:szCs w:val="22"/>
        </w:rPr>
        <w:t>że</w:t>
      </w:r>
      <w:r w:rsidRPr="00C228CD">
        <w:rPr>
          <w:color w:val="000000"/>
          <w:sz w:val="22"/>
          <w:szCs w:val="22"/>
        </w:rPr>
        <w:t xml:space="preserve"> ulec zmianie w trakcie realizacji umowy</w:t>
      </w:r>
      <w:r w:rsidRPr="00C228CD">
        <w:rPr>
          <w:b/>
          <w:color w:val="000000"/>
          <w:sz w:val="22"/>
          <w:szCs w:val="22"/>
        </w:rPr>
        <w:t>.</w:t>
      </w:r>
    </w:p>
    <w:p w:rsidR="009F69EA" w:rsidRPr="00C74546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F69EA" w:rsidRPr="00A703F5" w:rsidRDefault="009F69EA" w:rsidP="00CA0DD0">
      <w:pPr>
        <w:ind w:left="709" w:hanging="143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bookmarkStart w:id="2" w:name="_Hlk98160779"/>
      <w:r w:rsidRPr="00A703F5">
        <w:rPr>
          <w:color w:val="000000"/>
          <w:sz w:val="22"/>
        </w:rPr>
        <w:t>– znaczenie kryterium – 60 %</w:t>
      </w:r>
    </w:p>
    <w:bookmarkEnd w:id="2"/>
    <w:p w:rsidR="009F69EA" w:rsidRPr="00A703F5" w:rsidRDefault="009F69EA" w:rsidP="00CA0DD0">
      <w:pPr>
        <w:ind w:left="851" w:hanging="143"/>
        <w:rPr>
          <w:color w:val="000000"/>
          <w:sz w:val="22"/>
        </w:rPr>
      </w:pPr>
      <w:r w:rsidRPr="00C228CD">
        <w:rPr>
          <w:b/>
          <w:color w:val="000000"/>
          <w:sz w:val="22"/>
        </w:rPr>
        <w:t xml:space="preserve">2) </w:t>
      </w:r>
      <w:r w:rsidR="00C228CD" w:rsidRPr="00C228CD">
        <w:rPr>
          <w:b/>
          <w:color w:val="000000"/>
          <w:sz w:val="22"/>
        </w:rPr>
        <w:t xml:space="preserve"> Termin dostawy</w:t>
      </w:r>
      <w:r w:rsidR="00C228CD">
        <w:rPr>
          <w:color w:val="000000"/>
          <w:sz w:val="22"/>
        </w:rPr>
        <w:t xml:space="preserve"> </w:t>
      </w:r>
      <w:r w:rsidR="00CA0DD0" w:rsidRPr="00CA0DD0">
        <w:rPr>
          <w:b/>
          <w:color w:val="000000"/>
          <w:sz w:val="22"/>
        </w:rPr>
        <w:t>zam</w:t>
      </w:r>
      <w:r w:rsidR="00CA0DD0">
        <w:rPr>
          <w:b/>
          <w:color w:val="000000"/>
          <w:sz w:val="22"/>
        </w:rPr>
        <w:t>ó</w:t>
      </w:r>
      <w:r w:rsidR="00CA0DD0" w:rsidRPr="00CA0DD0">
        <w:rPr>
          <w:b/>
          <w:color w:val="000000"/>
          <w:sz w:val="22"/>
        </w:rPr>
        <w:t>wienia</w:t>
      </w:r>
      <w:r w:rsidR="00C228CD" w:rsidRPr="00C228CD">
        <w:rPr>
          <w:color w:val="000000"/>
          <w:sz w:val="22"/>
        </w:rPr>
        <w:t xml:space="preserve">– znaczenie kryterium – </w:t>
      </w:r>
      <w:r w:rsidR="00C228CD">
        <w:rPr>
          <w:color w:val="000000"/>
          <w:sz w:val="22"/>
        </w:rPr>
        <w:t>4</w:t>
      </w:r>
      <w:r w:rsidR="00C228CD" w:rsidRPr="00C228CD">
        <w:rPr>
          <w:color w:val="000000"/>
          <w:sz w:val="22"/>
        </w:rPr>
        <w:t>0 %</w:t>
      </w:r>
    </w:p>
    <w:p w:rsidR="009F69EA" w:rsidRPr="00CA0DD0" w:rsidRDefault="009F69EA" w:rsidP="00103C56">
      <w:pPr>
        <w:numPr>
          <w:ilvl w:val="0"/>
          <w:numId w:val="30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CA0DD0" w:rsidRPr="00A703F5" w:rsidRDefault="00CA0DD0" w:rsidP="00CA0DD0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F69EA" w:rsidRPr="00A703F5" w:rsidRDefault="009F69EA" w:rsidP="00CA0DD0">
      <w:pPr>
        <w:numPr>
          <w:ilvl w:val="0"/>
          <w:numId w:val="27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F69EA" w:rsidRPr="00A703F5" w:rsidRDefault="009F69EA" w:rsidP="00CA0DD0">
      <w:pPr>
        <w:shd w:val="clear" w:color="auto" w:fill="FFFFFF"/>
        <w:ind w:left="993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F69EA" w:rsidRPr="00C228CD" w:rsidRDefault="009F69EA" w:rsidP="00CA0DD0">
      <w:pPr>
        <w:spacing w:line="360" w:lineRule="auto"/>
        <w:ind w:left="993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F69EA" w:rsidRPr="00A703F5" w:rsidRDefault="009F69EA" w:rsidP="00C228CD">
      <w:pPr>
        <w:spacing w:after="0"/>
        <w:rPr>
          <w:color w:val="000000"/>
          <w:sz w:val="22"/>
          <w:lang w:eastAsia="en-US"/>
        </w:rPr>
      </w:pPr>
    </w:p>
    <w:p w:rsidR="00C228CD" w:rsidRPr="00CA0DD0" w:rsidRDefault="00C228CD" w:rsidP="00CA0DD0">
      <w:pPr>
        <w:spacing w:after="0"/>
        <w:ind w:left="709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2) Termin dostawy</w:t>
      </w:r>
      <w:r w:rsidR="00CA0DD0">
        <w:rPr>
          <w:b/>
          <w:sz w:val="22"/>
          <w:lang w:val="cs-CZ" w:eastAsia="en-US"/>
        </w:rPr>
        <w:t xml:space="preserve"> zamówienia</w:t>
      </w:r>
      <w:r w:rsidRPr="00ED157E">
        <w:rPr>
          <w:b/>
          <w:sz w:val="22"/>
          <w:lang w:val="cs-CZ" w:eastAsia="en-US"/>
        </w:rPr>
        <w:t>:</w:t>
      </w:r>
    </w:p>
    <w:p w:rsidR="00C228CD" w:rsidRDefault="00C228CD" w:rsidP="00CA0DD0">
      <w:pPr>
        <w:suppressAutoHyphens/>
        <w:ind w:left="851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 xml:space="preserve">W kryterium </w:t>
      </w:r>
      <w:r>
        <w:rPr>
          <w:color w:val="000000"/>
          <w:sz w:val="22"/>
          <w:lang w:val="cs-CZ" w:eastAsia="en-US"/>
        </w:rPr>
        <w:t>–</w:t>
      </w:r>
      <w:r w:rsidRPr="006F3F39">
        <w:rPr>
          <w:color w:val="000000"/>
          <w:sz w:val="22"/>
          <w:lang w:val="cs-CZ" w:eastAsia="en-US"/>
        </w:rPr>
        <w:t xml:space="preserve"> termin</w:t>
      </w:r>
      <w:r>
        <w:rPr>
          <w:color w:val="000000"/>
          <w:sz w:val="22"/>
          <w:lang w:val="cs-CZ" w:eastAsia="en-US"/>
        </w:rPr>
        <w:t xml:space="preserve"> dostawy</w:t>
      </w:r>
      <w:r w:rsidRPr="006F3F39">
        <w:rPr>
          <w:color w:val="000000"/>
          <w:sz w:val="22"/>
          <w:lang w:val="cs-CZ" w:eastAsia="en-US"/>
        </w:rPr>
        <w:t xml:space="preserve"> </w:t>
      </w:r>
      <w:r w:rsidR="00CA0DD0">
        <w:rPr>
          <w:color w:val="000000"/>
          <w:sz w:val="22"/>
          <w:lang w:val="cs-CZ" w:eastAsia="en-US"/>
        </w:rPr>
        <w:t xml:space="preserve">zamówienia </w:t>
      </w:r>
      <w:r>
        <w:rPr>
          <w:color w:val="000000"/>
          <w:sz w:val="22"/>
          <w:lang w:val="cs-CZ" w:eastAsia="en-US"/>
        </w:rPr>
        <w:t>–</w:t>
      </w:r>
      <w:r w:rsidRPr="006F3F39">
        <w:rPr>
          <w:color w:val="000000"/>
          <w:sz w:val="22"/>
          <w:lang w:val="cs-CZ" w:eastAsia="en-US"/>
        </w:rPr>
        <w:t xml:space="preserve"> ocenie</w:t>
      </w:r>
      <w:r>
        <w:rPr>
          <w:color w:val="000000"/>
          <w:sz w:val="22"/>
          <w:lang w:val="cs-CZ" w:eastAsia="en-US"/>
        </w:rPr>
        <w:t xml:space="preserve"> </w:t>
      </w:r>
      <w:r w:rsidRPr="006F3F39">
        <w:rPr>
          <w:color w:val="000000"/>
          <w:sz w:val="22"/>
          <w:lang w:val="cs-CZ" w:eastAsia="en-US"/>
        </w:rPr>
        <w:t>będzie po</w:t>
      </w:r>
      <w:r>
        <w:rPr>
          <w:color w:val="000000"/>
          <w:sz w:val="22"/>
          <w:lang w:val="cs-CZ" w:eastAsia="en-US"/>
        </w:rPr>
        <w:t>dlegać liczba dni roboczych</w:t>
      </w:r>
      <w:r w:rsidRPr="006F3F39">
        <w:rPr>
          <w:color w:val="000000"/>
          <w:sz w:val="22"/>
          <w:lang w:val="cs-CZ" w:eastAsia="en-US"/>
        </w:rPr>
        <w:t>, o</w:t>
      </w:r>
      <w:r>
        <w:rPr>
          <w:color w:val="000000"/>
          <w:sz w:val="22"/>
          <w:lang w:val="cs-CZ" w:eastAsia="en-US"/>
        </w:rPr>
        <w:t> </w:t>
      </w:r>
      <w:r w:rsidRPr="006F3F39">
        <w:rPr>
          <w:color w:val="000000"/>
          <w:sz w:val="22"/>
          <w:lang w:val="cs-CZ" w:eastAsia="en-US"/>
        </w:rPr>
        <w:t xml:space="preserve">jaką Wykonawca zobowiąże się skrócić </w:t>
      </w:r>
      <w:r>
        <w:rPr>
          <w:color w:val="000000"/>
          <w:sz w:val="22"/>
          <w:lang w:val="cs-CZ" w:eastAsia="en-US"/>
        </w:rPr>
        <w:t>10</w:t>
      </w:r>
      <w:r w:rsidRPr="006F3F39">
        <w:rPr>
          <w:color w:val="000000"/>
          <w:sz w:val="22"/>
          <w:lang w:val="cs-CZ" w:eastAsia="en-US"/>
        </w:rPr>
        <w:t xml:space="preserve">-dniowy termin </w:t>
      </w:r>
      <w:r w:rsidR="00CA0DD0">
        <w:rPr>
          <w:color w:val="000000"/>
          <w:sz w:val="22"/>
          <w:lang w:val="cs-CZ" w:eastAsia="en-US"/>
        </w:rPr>
        <w:t xml:space="preserve">dostawy </w:t>
      </w:r>
      <w:r w:rsidRPr="006F3F39">
        <w:rPr>
          <w:color w:val="000000"/>
          <w:sz w:val="22"/>
          <w:lang w:val="cs-CZ" w:eastAsia="en-US"/>
        </w:rPr>
        <w:t>zamówienia.</w:t>
      </w:r>
    </w:p>
    <w:p w:rsidR="00C228CD" w:rsidRPr="00A14C80" w:rsidRDefault="00C228CD" w:rsidP="00CA0DD0">
      <w:pPr>
        <w:ind w:left="851"/>
        <w:jc w:val="both"/>
        <w:rPr>
          <w:color w:val="000000"/>
          <w:sz w:val="22"/>
          <w:lang w:val="cs-CZ" w:eastAsia="en-US"/>
        </w:rPr>
      </w:pPr>
      <w:r w:rsidRPr="00310A57">
        <w:rPr>
          <w:color w:val="000000"/>
          <w:sz w:val="22"/>
          <w:lang w:val="cs-CZ" w:eastAsia="en-US"/>
        </w:rPr>
        <w:t>Punkty w tym kryterium obliczone zostaną według wzoru:</w:t>
      </w:r>
    </w:p>
    <w:p w:rsidR="00C228CD" w:rsidRPr="00A14C80" w:rsidRDefault="00C228CD" w:rsidP="00CA0DD0">
      <w:pPr>
        <w:suppressAutoHyphens/>
        <w:ind w:left="851"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</w:t>
      </w:r>
      <w:r w:rsidRPr="00A14C80">
        <w:rPr>
          <w:sz w:val="22"/>
          <w:lang w:eastAsia="ar-SA"/>
        </w:rPr>
        <w:t xml:space="preserve">liczba </w:t>
      </w:r>
      <w:r>
        <w:rPr>
          <w:sz w:val="22"/>
          <w:lang w:eastAsia="ar-SA"/>
        </w:rPr>
        <w:t>dni o jaką został skrócony</w:t>
      </w:r>
      <w:r w:rsidRPr="00A14C80">
        <w:rPr>
          <w:sz w:val="22"/>
          <w:lang w:eastAsia="ar-SA"/>
        </w:rPr>
        <w:t xml:space="preserve"> termin </w:t>
      </w:r>
      <w:r>
        <w:rPr>
          <w:sz w:val="22"/>
          <w:lang w:eastAsia="ar-SA"/>
        </w:rPr>
        <w:t>dostawy</w:t>
      </w:r>
      <w:r w:rsidRPr="00A14C80">
        <w:rPr>
          <w:sz w:val="22"/>
          <w:lang w:eastAsia="ar-SA"/>
        </w:rPr>
        <w:t xml:space="preserve"> zamówienia </w:t>
      </w:r>
      <w:r>
        <w:rPr>
          <w:sz w:val="22"/>
          <w:lang w:eastAsia="ar-SA"/>
        </w:rPr>
        <w:br/>
        <w:t xml:space="preserve">                                  badanej oferty</w:t>
      </w:r>
    </w:p>
    <w:p w:rsidR="00C228CD" w:rsidRPr="00A14C80" w:rsidRDefault="00C228CD" w:rsidP="00CA0DD0">
      <w:pPr>
        <w:suppressAutoHyphens/>
        <w:ind w:left="851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 w:rsidRPr="00A14C80">
        <w:rPr>
          <w:sz w:val="22"/>
          <w:lang w:eastAsia="ar-SA"/>
        </w:rPr>
        <w:t xml:space="preserve"> uzyskanych punktów = </w:t>
      </w:r>
      <w:r w:rsidRPr="00A14C80">
        <w:rPr>
          <w:color w:val="000000"/>
          <w:sz w:val="22"/>
          <w:lang w:eastAsia="ar-SA"/>
        </w:rPr>
        <w:t>-------------------------------------</w:t>
      </w:r>
      <w:r>
        <w:rPr>
          <w:color w:val="000000"/>
          <w:sz w:val="22"/>
          <w:lang w:eastAsia="ar-SA"/>
        </w:rPr>
        <w:t>-----------------------</w:t>
      </w:r>
      <w:r w:rsidRPr="00A14C80">
        <w:rPr>
          <w:color w:val="000000"/>
          <w:sz w:val="22"/>
          <w:lang w:eastAsia="ar-SA"/>
        </w:rPr>
        <w:t xml:space="preserve"> </w:t>
      </w:r>
      <w:r w:rsidRPr="00A14C80">
        <w:rPr>
          <w:sz w:val="22"/>
          <w:lang w:eastAsia="ar-SA"/>
        </w:rPr>
        <w:t>x 40</w:t>
      </w:r>
    </w:p>
    <w:p w:rsidR="00C228CD" w:rsidRPr="00A14C80" w:rsidRDefault="00C228CD" w:rsidP="00CA0DD0">
      <w:pPr>
        <w:suppressAutoHyphens/>
        <w:ind w:left="851"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</w:t>
      </w:r>
      <w:r w:rsidRPr="00A14C80">
        <w:rPr>
          <w:sz w:val="22"/>
          <w:lang w:eastAsia="ar-SA"/>
        </w:rPr>
        <w:t xml:space="preserve">najwyższa liczba </w:t>
      </w:r>
      <w:r>
        <w:rPr>
          <w:sz w:val="22"/>
          <w:lang w:eastAsia="ar-SA"/>
        </w:rPr>
        <w:t>dni o jaką został skrócony</w:t>
      </w:r>
      <w:r w:rsidRPr="00A14C80">
        <w:rPr>
          <w:sz w:val="22"/>
          <w:lang w:eastAsia="ar-SA"/>
        </w:rPr>
        <w:t xml:space="preserve"> termin </w:t>
      </w:r>
      <w:r w:rsidR="00CA0DD0">
        <w:rPr>
          <w:sz w:val="22"/>
          <w:lang w:eastAsia="ar-SA"/>
        </w:rPr>
        <w:t>dostawy</w:t>
      </w:r>
      <w:r w:rsidRPr="00A14C80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br/>
        <w:t xml:space="preserve">                                 </w:t>
      </w:r>
      <w:r w:rsidRPr="00A14C80">
        <w:rPr>
          <w:sz w:val="22"/>
          <w:lang w:eastAsia="ar-SA"/>
        </w:rPr>
        <w:t>zamówienia spośród badanych ofert</w:t>
      </w:r>
    </w:p>
    <w:p w:rsidR="00C228CD" w:rsidRPr="00ED157E" w:rsidRDefault="00C228CD" w:rsidP="00CA0DD0">
      <w:pPr>
        <w:suppressAutoHyphens/>
        <w:ind w:left="851"/>
        <w:rPr>
          <w:b/>
          <w:sz w:val="22"/>
          <w:lang w:eastAsia="ar-SA"/>
        </w:rPr>
      </w:pPr>
    </w:p>
    <w:p w:rsidR="00C228CD" w:rsidRPr="00ED157E" w:rsidRDefault="00C228CD" w:rsidP="00CA0DD0">
      <w:pPr>
        <w:suppressAutoHyphens/>
        <w:ind w:left="851"/>
        <w:rPr>
          <w:sz w:val="22"/>
          <w:lang w:eastAsia="ar-SA"/>
        </w:rPr>
      </w:pPr>
      <w:r w:rsidRPr="00ED157E">
        <w:rPr>
          <w:color w:val="000000"/>
          <w:sz w:val="22"/>
          <w:lang w:eastAsia="ar-SA"/>
        </w:rPr>
        <w:t>Wynik działania zostanie  zaokrąglony do 2 miejsc po przecinku,</w:t>
      </w:r>
      <w:r w:rsidRPr="00ED157E">
        <w:rPr>
          <w:sz w:val="22"/>
          <w:lang w:eastAsia="ar-SA"/>
        </w:rPr>
        <w:t xml:space="preserve"> maksymalna liczba punktów jaką można uzyskać – 40</w:t>
      </w:r>
      <w:r>
        <w:rPr>
          <w:sz w:val="22"/>
          <w:lang w:eastAsia="ar-SA"/>
        </w:rPr>
        <w:t>.</w:t>
      </w:r>
    </w:p>
    <w:p w:rsidR="00C228CD" w:rsidRDefault="00C228CD" w:rsidP="00CA0DD0">
      <w:pPr>
        <w:ind w:left="851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Termin </w:t>
      </w:r>
      <w:r w:rsidR="00CA0DD0">
        <w:rPr>
          <w:sz w:val="22"/>
          <w:lang w:val="cs-CZ"/>
        </w:rPr>
        <w:t xml:space="preserve">dostawy </w:t>
      </w:r>
      <w:r>
        <w:rPr>
          <w:sz w:val="22"/>
          <w:lang w:val="cs-CZ"/>
        </w:rPr>
        <w:t xml:space="preserve">zamówienia jest rozumiany jako liczba dni </w:t>
      </w:r>
      <w:r w:rsidR="00CA0DD0">
        <w:rPr>
          <w:sz w:val="22"/>
          <w:lang w:val="cs-CZ"/>
        </w:rPr>
        <w:t xml:space="preserve">roboczych </w:t>
      </w:r>
      <w:r>
        <w:rPr>
          <w:sz w:val="22"/>
          <w:lang w:val="cs-CZ"/>
        </w:rPr>
        <w:t xml:space="preserve">liczonych od dnia zawarcia umowy do dnia </w:t>
      </w:r>
      <w:r w:rsidR="00CA0DD0">
        <w:rPr>
          <w:sz w:val="22"/>
          <w:lang w:val="cs-CZ"/>
        </w:rPr>
        <w:t>dostarczenia</w:t>
      </w:r>
      <w:r>
        <w:rPr>
          <w:sz w:val="22"/>
          <w:lang w:val="cs-CZ"/>
        </w:rPr>
        <w:t xml:space="preserve"> przedmiotu zamówienia. </w:t>
      </w:r>
    </w:p>
    <w:p w:rsidR="00C228CD" w:rsidRDefault="00C228CD" w:rsidP="00CA0DD0">
      <w:pPr>
        <w:ind w:left="851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Wykonawca w formularzu ofertowym wskazuje liczbę dni </w:t>
      </w:r>
      <w:r w:rsidR="00CA0DD0">
        <w:rPr>
          <w:sz w:val="22"/>
          <w:lang w:val="cs-CZ"/>
        </w:rPr>
        <w:t>roboczych</w:t>
      </w:r>
      <w:r>
        <w:rPr>
          <w:sz w:val="22"/>
          <w:lang w:val="cs-CZ"/>
        </w:rPr>
        <w:t xml:space="preserve"> o jaką oferuje skrócenie </w:t>
      </w:r>
      <w:r w:rsidR="00CA0DD0">
        <w:rPr>
          <w:sz w:val="22"/>
          <w:lang w:val="cs-CZ"/>
        </w:rPr>
        <w:t>10</w:t>
      </w:r>
      <w:r>
        <w:rPr>
          <w:sz w:val="22"/>
          <w:lang w:val="cs-CZ"/>
        </w:rPr>
        <w:t xml:space="preserve">-dniowego terminu </w:t>
      </w:r>
      <w:r w:rsidR="00CA0DD0">
        <w:rPr>
          <w:sz w:val="22"/>
          <w:lang w:val="cs-CZ"/>
        </w:rPr>
        <w:t>dostawy</w:t>
      </w:r>
      <w:r>
        <w:rPr>
          <w:sz w:val="22"/>
          <w:lang w:val="cs-CZ"/>
        </w:rPr>
        <w:t xml:space="preserve"> przedmiotu zamówienia. </w:t>
      </w:r>
    </w:p>
    <w:p w:rsidR="00C228CD" w:rsidRDefault="00C228CD" w:rsidP="00CA0DD0">
      <w:pPr>
        <w:ind w:left="851"/>
        <w:jc w:val="both"/>
        <w:rPr>
          <w:sz w:val="22"/>
          <w:lang w:val="cs-CZ"/>
        </w:rPr>
      </w:pPr>
      <w:r>
        <w:rPr>
          <w:sz w:val="22"/>
          <w:lang w:val="cs-CZ"/>
        </w:rPr>
        <w:lastRenderedPageBreak/>
        <w:t xml:space="preserve">Maksymalny termin </w:t>
      </w:r>
      <w:r w:rsidR="00CA0DD0">
        <w:rPr>
          <w:sz w:val="22"/>
          <w:lang w:val="cs-CZ"/>
        </w:rPr>
        <w:t>dostawy</w:t>
      </w:r>
      <w:r>
        <w:rPr>
          <w:sz w:val="22"/>
          <w:lang w:val="cs-CZ"/>
        </w:rPr>
        <w:t xml:space="preserve"> zamówienia – </w:t>
      </w:r>
      <w:r w:rsidR="00CA0DD0">
        <w:rPr>
          <w:sz w:val="22"/>
          <w:lang w:val="cs-CZ"/>
        </w:rPr>
        <w:t>10</w:t>
      </w:r>
      <w:r>
        <w:rPr>
          <w:sz w:val="22"/>
          <w:lang w:val="cs-CZ"/>
        </w:rPr>
        <w:t xml:space="preserve"> dni</w:t>
      </w:r>
      <w:r w:rsidR="00C940EB">
        <w:rPr>
          <w:sz w:val="22"/>
          <w:lang w:val="cs-CZ"/>
        </w:rPr>
        <w:t xml:space="preserve"> </w:t>
      </w:r>
      <w:r w:rsidR="00CA0DD0">
        <w:rPr>
          <w:sz w:val="22"/>
          <w:lang w:val="cs-CZ"/>
        </w:rPr>
        <w:t xml:space="preserve">roboczych </w:t>
      </w:r>
      <w:r>
        <w:rPr>
          <w:sz w:val="22"/>
          <w:lang w:val="cs-CZ"/>
        </w:rPr>
        <w:t xml:space="preserve">od dnia zawarcia umowy. </w:t>
      </w:r>
    </w:p>
    <w:p w:rsidR="00C228CD" w:rsidRDefault="00C228CD" w:rsidP="00CA0DD0">
      <w:pPr>
        <w:ind w:left="851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Ocenie będzie podlegać skrócenie </w:t>
      </w:r>
      <w:r w:rsidR="00CA0DD0">
        <w:rPr>
          <w:sz w:val="22"/>
          <w:lang w:val="cs-CZ"/>
        </w:rPr>
        <w:t>10</w:t>
      </w:r>
      <w:r>
        <w:rPr>
          <w:sz w:val="22"/>
          <w:lang w:val="cs-CZ"/>
        </w:rPr>
        <w:t xml:space="preserve">-dniowego </w:t>
      </w:r>
      <w:r w:rsidRPr="00AA6A2A">
        <w:rPr>
          <w:bCs/>
          <w:sz w:val="22"/>
          <w:lang w:val="cs-CZ"/>
        </w:rPr>
        <w:t>terminu</w:t>
      </w:r>
      <w:r>
        <w:rPr>
          <w:sz w:val="22"/>
          <w:lang w:val="cs-CZ"/>
        </w:rPr>
        <w:t xml:space="preserve"> </w:t>
      </w:r>
      <w:r w:rsidR="00CA0DD0">
        <w:rPr>
          <w:sz w:val="22"/>
          <w:lang w:val="cs-CZ"/>
        </w:rPr>
        <w:t>dostawy</w:t>
      </w:r>
      <w:r>
        <w:rPr>
          <w:sz w:val="22"/>
          <w:lang w:val="cs-CZ"/>
        </w:rPr>
        <w:t xml:space="preserve"> zamówienia </w:t>
      </w:r>
      <w:r>
        <w:rPr>
          <w:b/>
          <w:bCs/>
          <w:sz w:val="22"/>
          <w:lang w:val="cs-CZ"/>
        </w:rPr>
        <w:t xml:space="preserve">maksymalnie o </w:t>
      </w:r>
      <w:r w:rsidR="00CA0DD0">
        <w:rPr>
          <w:b/>
          <w:bCs/>
          <w:sz w:val="22"/>
          <w:lang w:val="cs-CZ"/>
        </w:rPr>
        <w:t>5</w:t>
      </w:r>
      <w:r>
        <w:rPr>
          <w:b/>
          <w:bCs/>
          <w:sz w:val="22"/>
          <w:lang w:val="cs-CZ"/>
        </w:rPr>
        <w:t xml:space="preserve"> dni</w:t>
      </w:r>
      <w:r w:rsidR="00DC565C">
        <w:rPr>
          <w:b/>
          <w:sz w:val="22"/>
          <w:lang w:val="cs-CZ"/>
        </w:rPr>
        <w:t xml:space="preserve"> roboczych</w:t>
      </w:r>
      <w:r w:rsidRPr="002A76A4">
        <w:rPr>
          <w:b/>
          <w:sz w:val="22"/>
          <w:lang w:val="cs-CZ"/>
        </w:rPr>
        <w:t>.</w:t>
      </w:r>
      <w:r>
        <w:rPr>
          <w:sz w:val="22"/>
          <w:lang w:val="cs-CZ"/>
        </w:rPr>
        <w:t xml:space="preserve">  </w:t>
      </w:r>
    </w:p>
    <w:p w:rsidR="00C228CD" w:rsidRDefault="00C228CD" w:rsidP="00CA0DD0">
      <w:pPr>
        <w:ind w:left="85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Jeżeli Wykonawca w formularzu ofertowym  nie zaoferuje skrócenia terminu </w:t>
      </w:r>
      <w:r w:rsidR="00CA0DD0">
        <w:rPr>
          <w:color w:val="000000"/>
          <w:sz w:val="22"/>
        </w:rPr>
        <w:t>dostawy</w:t>
      </w:r>
      <w:r>
        <w:rPr>
          <w:color w:val="000000"/>
          <w:sz w:val="22"/>
        </w:rPr>
        <w:t xml:space="preserve"> zamówienia,   jego oferta w powyższym kryterium otrzyma 0 punktów bez podstawiania do wzoru.</w:t>
      </w:r>
    </w:p>
    <w:p w:rsidR="009F69EA" w:rsidRPr="00C228CD" w:rsidRDefault="00C228CD" w:rsidP="00CA0DD0">
      <w:pPr>
        <w:ind w:left="851"/>
        <w:jc w:val="both"/>
        <w:rPr>
          <w:sz w:val="22"/>
          <w:lang w:val="x-none" w:eastAsia="ar-SA"/>
        </w:rPr>
      </w:pPr>
      <w:r w:rsidRPr="00227C7B">
        <w:rPr>
          <w:color w:val="000000"/>
          <w:sz w:val="22"/>
          <w:lang w:val="cs-CZ"/>
        </w:rPr>
        <w:t xml:space="preserve">W przypadku, gdy Wykonawca w formularzu </w:t>
      </w:r>
      <w:r>
        <w:rPr>
          <w:color w:val="000000"/>
          <w:sz w:val="22"/>
          <w:lang w:val="cs-CZ"/>
        </w:rPr>
        <w:t xml:space="preserve">ofertowym zaoferuje skrócenie </w:t>
      </w:r>
      <w:r w:rsidR="00CA0DD0">
        <w:rPr>
          <w:color w:val="000000"/>
          <w:sz w:val="22"/>
          <w:lang w:val="cs-CZ"/>
        </w:rPr>
        <w:t>10</w:t>
      </w:r>
      <w:r w:rsidRPr="00227C7B">
        <w:rPr>
          <w:color w:val="000000"/>
          <w:sz w:val="22"/>
          <w:lang w:val="cs-CZ"/>
        </w:rPr>
        <w:t xml:space="preserve">-dniowego terminu </w:t>
      </w:r>
      <w:r w:rsidR="00CA0DD0">
        <w:rPr>
          <w:color w:val="000000"/>
          <w:sz w:val="22"/>
          <w:lang w:val="cs-CZ"/>
        </w:rPr>
        <w:t>dostawy</w:t>
      </w:r>
      <w:r>
        <w:rPr>
          <w:color w:val="000000"/>
          <w:sz w:val="22"/>
          <w:lang w:val="cs-CZ"/>
        </w:rPr>
        <w:t xml:space="preserve"> zamówienia o więcej niż </w:t>
      </w:r>
      <w:r w:rsidR="00CA0DD0">
        <w:rPr>
          <w:color w:val="000000"/>
          <w:sz w:val="22"/>
          <w:lang w:val="cs-CZ"/>
        </w:rPr>
        <w:t>5</w:t>
      </w:r>
      <w:r>
        <w:rPr>
          <w:color w:val="000000"/>
          <w:sz w:val="22"/>
          <w:lang w:val="cs-CZ"/>
        </w:rPr>
        <w:t xml:space="preserve"> dni </w:t>
      </w:r>
      <w:r w:rsidR="00CA0DD0">
        <w:rPr>
          <w:color w:val="000000"/>
          <w:sz w:val="22"/>
          <w:lang w:val="cs-CZ"/>
        </w:rPr>
        <w:t>robocz</w:t>
      </w:r>
      <w:r w:rsidR="009316B9">
        <w:rPr>
          <w:color w:val="000000"/>
          <w:sz w:val="22"/>
          <w:lang w:val="cs-CZ"/>
        </w:rPr>
        <w:t>ych</w:t>
      </w:r>
      <w:r w:rsidRPr="00227C7B">
        <w:rPr>
          <w:color w:val="000000"/>
          <w:sz w:val="22"/>
          <w:lang w:val="cs-CZ"/>
        </w:rPr>
        <w:t xml:space="preserve">, </w:t>
      </w:r>
      <w:r>
        <w:rPr>
          <w:color w:val="000000"/>
          <w:sz w:val="22"/>
          <w:lang w:val="cs-CZ"/>
        </w:rPr>
        <w:t xml:space="preserve">punkty w badanym kryterium zostaną przyznane  jak dla </w:t>
      </w:r>
      <w:r w:rsidR="00CA0DD0">
        <w:rPr>
          <w:color w:val="000000"/>
          <w:sz w:val="22"/>
          <w:lang w:val="cs-CZ"/>
        </w:rPr>
        <w:t>5</w:t>
      </w:r>
      <w:r>
        <w:rPr>
          <w:color w:val="000000"/>
          <w:sz w:val="22"/>
          <w:lang w:val="cs-CZ"/>
        </w:rPr>
        <w:t xml:space="preserve">-dniowego skrócenia terminu </w:t>
      </w:r>
      <w:r w:rsidR="00CA0DD0">
        <w:rPr>
          <w:color w:val="000000"/>
          <w:sz w:val="22"/>
          <w:lang w:val="cs-CZ"/>
        </w:rPr>
        <w:t xml:space="preserve">dostawy </w:t>
      </w:r>
      <w:r>
        <w:rPr>
          <w:color w:val="000000"/>
          <w:sz w:val="22"/>
          <w:lang w:val="cs-CZ"/>
        </w:rPr>
        <w:t>zamówienia.</w:t>
      </w:r>
      <w:r w:rsidR="009F69EA" w:rsidRPr="00324C20">
        <w:rPr>
          <w:color w:val="000000"/>
          <w:sz w:val="22"/>
          <w:lang w:val="x-none" w:eastAsia="ar-SA"/>
        </w:rPr>
        <w:t xml:space="preserve">                                                              </w:t>
      </w:r>
    </w:p>
    <w:p w:rsidR="009F69EA" w:rsidRPr="00B773CE" w:rsidRDefault="009F69EA" w:rsidP="00103C56">
      <w:pPr>
        <w:pStyle w:val="Akapitzlist"/>
        <w:numPr>
          <w:ilvl w:val="0"/>
          <w:numId w:val="31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Pr="00CA0DD0" w:rsidRDefault="009F69EA" w:rsidP="00103C56">
      <w:pPr>
        <w:pStyle w:val="Akapitzlist"/>
        <w:numPr>
          <w:ilvl w:val="0"/>
          <w:numId w:val="3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 xml:space="preserve">Jeżeli nie można wybrać najkorzystniejszej oferty z uwagi na to, że dwie lub więcej ofert przedstawia taki sam bilans ceny i innych kryteriów oceny ofert, Zamawiający wybiera </w:t>
      </w:r>
      <w:r w:rsidRPr="00CA0DD0">
        <w:rPr>
          <w:sz w:val="22"/>
        </w:rPr>
        <w:t>spośród tych ofert ofertę, która otrzymała najwyższą ocenę w kryterium o najwyższej wadze.</w:t>
      </w:r>
    </w:p>
    <w:p w:rsidR="009F69EA" w:rsidRPr="00CA0DD0" w:rsidRDefault="009F69EA" w:rsidP="00103C56">
      <w:pPr>
        <w:pStyle w:val="Akapitzlist"/>
        <w:numPr>
          <w:ilvl w:val="0"/>
          <w:numId w:val="32"/>
        </w:numPr>
        <w:spacing w:before="26" w:after="0" w:line="360" w:lineRule="auto"/>
        <w:ind w:left="892"/>
        <w:jc w:val="both"/>
        <w:rPr>
          <w:sz w:val="22"/>
        </w:rPr>
      </w:pPr>
      <w:r w:rsidRPr="00CA0DD0">
        <w:rPr>
          <w:sz w:val="22"/>
        </w:rPr>
        <w:t>Jeżeli oferty otrzymały taką samą ocenę w kryterium o najwyższej wadze, Zamawiający wybiera ofertę z najniższą ceną</w:t>
      </w:r>
      <w:r w:rsidR="00CA0DD0" w:rsidRPr="00CA0DD0">
        <w:rPr>
          <w:sz w:val="22"/>
        </w:rPr>
        <w:t>.</w:t>
      </w:r>
    </w:p>
    <w:p w:rsidR="009F69EA" w:rsidRPr="00CA0DD0" w:rsidRDefault="009F69EA" w:rsidP="00103C56">
      <w:pPr>
        <w:pStyle w:val="Akapitzlist"/>
        <w:numPr>
          <w:ilvl w:val="0"/>
          <w:numId w:val="32"/>
        </w:numPr>
        <w:spacing w:before="26" w:after="0" w:line="360" w:lineRule="auto"/>
        <w:ind w:left="892"/>
        <w:jc w:val="both"/>
        <w:rPr>
          <w:sz w:val="22"/>
        </w:rPr>
      </w:pPr>
      <w:r w:rsidRPr="00CA0DD0">
        <w:rPr>
          <w:sz w:val="22"/>
        </w:rPr>
        <w:t>Jeżeli nie można dokonać wyboru oferty w sposób, o którym mowa w ust. 5, Zamawiający wzywa Wykonawców, którzy złożyli te oferty, do złożenia w terminie określonym przez Zamawiającego ofert dodatkowych zawierających nową cenę.</w:t>
      </w:r>
    </w:p>
    <w:p w:rsidR="009F69EA" w:rsidRPr="00DB32FB" w:rsidRDefault="009F69EA" w:rsidP="00103C56">
      <w:pPr>
        <w:pStyle w:val="Akapitzlist"/>
        <w:numPr>
          <w:ilvl w:val="0"/>
          <w:numId w:val="3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103C56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103C56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072649">
      <w:pPr>
        <w:pStyle w:val="Tekstpodstawowywcity2"/>
        <w:numPr>
          <w:ilvl w:val="0"/>
          <w:numId w:val="4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lastRenderedPageBreak/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CA0DD0">
        <w:rPr>
          <w:sz w:val="22"/>
        </w:rPr>
        <w:t xml:space="preserve">załącznik nr </w:t>
      </w:r>
      <w:r w:rsidR="00CA0DD0" w:rsidRPr="00CA0DD0">
        <w:rPr>
          <w:sz w:val="22"/>
        </w:rPr>
        <w:t>4</w:t>
      </w:r>
      <w:r w:rsidRPr="00CA0DD0">
        <w:rPr>
          <w:sz w:val="22"/>
        </w:rPr>
        <w:t xml:space="preserve"> do </w:t>
      </w:r>
      <w:r w:rsidRPr="00A703F5">
        <w:rPr>
          <w:sz w:val="22"/>
        </w:rPr>
        <w:t xml:space="preserve">SIWZ.  </w:t>
      </w:r>
    </w:p>
    <w:p w:rsidR="009F1D25" w:rsidRPr="00A703F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867671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>
        <w:rPr>
          <w:sz w:val="22"/>
        </w:rPr>
        <w:t>.</w:t>
      </w:r>
    </w:p>
    <w:p w:rsidR="009F1D25" w:rsidRPr="00C74546" w:rsidRDefault="009F1D25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103C5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103C5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lastRenderedPageBreak/>
        <w:t>Skargę wnosi się do Sądu Okręgowego w Warszawie - sądu zamówień publicznych.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103C56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CA0DD0" w:rsidRDefault="00CA0DD0" w:rsidP="00CA0DD0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0706F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0706F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Pr="00A7113B" w:rsidRDefault="000706F4" w:rsidP="00A7113B">
      <w:pPr>
        <w:numPr>
          <w:ilvl w:val="0"/>
          <w:numId w:val="36"/>
        </w:numPr>
        <w:spacing w:after="0" w:line="360" w:lineRule="auto"/>
        <w:ind w:left="1068"/>
        <w:jc w:val="both"/>
        <w:rPr>
          <w:b/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CC457F">
        <w:rPr>
          <w:sz w:val="20"/>
          <w:szCs w:val="20"/>
        </w:rPr>
        <w:t xml:space="preserve">na </w:t>
      </w:r>
      <w:r w:rsidR="00CC457F" w:rsidRPr="00CC457F">
        <w:rPr>
          <w:b/>
          <w:sz w:val="20"/>
          <w:szCs w:val="20"/>
        </w:rPr>
        <w:t>Dostaw</w:t>
      </w:r>
      <w:r w:rsidR="00A7113B">
        <w:rPr>
          <w:b/>
          <w:sz w:val="20"/>
          <w:szCs w:val="20"/>
        </w:rPr>
        <w:t>ę</w:t>
      </w:r>
      <w:r w:rsidR="00CC457F" w:rsidRPr="00CC457F">
        <w:rPr>
          <w:b/>
          <w:sz w:val="20"/>
          <w:szCs w:val="20"/>
        </w:rPr>
        <w:t xml:space="preserve"> licencji pakietu biurowego</w:t>
      </w:r>
      <w:r w:rsidR="00A7113B" w:rsidRPr="00A7113B">
        <w:rPr>
          <w:color w:val="595959"/>
          <w:sz w:val="20"/>
          <w:szCs w:val="20"/>
        </w:rPr>
        <w:t xml:space="preserve">, </w:t>
      </w:r>
      <w:r w:rsidR="00A7113B" w:rsidRPr="00A7113B">
        <w:rPr>
          <w:sz w:val="20"/>
          <w:szCs w:val="20"/>
        </w:rPr>
        <w:t xml:space="preserve">postępowanie  nr ZP.272.1.40.2022, </w:t>
      </w:r>
      <w:r w:rsidRPr="00A7113B">
        <w:rPr>
          <w:sz w:val="20"/>
          <w:szCs w:val="20"/>
        </w:rPr>
        <w:t xml:space="preserve">prowadzonym </w:t>
      </w:r>
      <w:r w:rsidRPr="00A7113B">
        <w:rPr>
          <w:b/>
          <w:sz w:val="20"/>
          <w:szCs w:val="20"/>
        </w:rPr>
        <w:t>w trybie przetargu nieograniczonego.</w:t>
      </w:r>
      <w:r w:rsidRPr="00A7113B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0706F4">
      <w:pPr>
        <w:pStyle w:val="Akapitzlist"/>
        <w:numPr>
          <w:ilvl w:val="0"/>
          <w:numId w:val="3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0706F4">
      <w:pPr>
        <w:pStyle w:val="Akapitzlist"/>
        <w:numPr>
          <w:ilvl w:val="0"/>
          <w:numId w:val="3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1A5437" w:rsidRDefault="001A5437" w:rsidP="00450E11">
      <w:pPr>
        <w:spacing w:after="0"/>
        <w:rPr>
          <w:b/>
          <w:i/>
          <w:color w:val="000000"/>
          <w:sz w:val="20"/>
          <w:szCs w:val="20"/>
        </w:rPr>
      </w:pPr>
    </w:p>
    <w:p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Pr="00B52093" w:rsidRDefault="001A5437" w:rsidP="00A7113B">
      <w:pPr>
        <w:pStyle w:val="Tekstpodstawowy"/>
        <w:spacing w:line="360" w:lineRule="auto"/>
        <w:jc w:val="left"/>
        <w:rPr>
          <w:b w:val="0"/>
          <w:i/>
          <w:color w:val="000000"/>
          <w:sz w:val="20"/>
        </w:rPr>
      </w:pPr>
    </w:p>
    <w:sectPr w:rsidR="001A5437" w:rsidRPr="00B5209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23" w:rsidRDefault="00D23523" w:rsidP="004F2A5C">
      <w:pPr>
        <w:spacing w:after="0" w:line="240" w:lineRule="auto"/>
      </w:pPr>
      <w:r>
        <w:separator/>
      </w:r>
    </w:p>
  </w:endnote>
  <w:endnote w:type="continuationSeparator" w:id="0">
    <w:p w:rsidR="00D23523" w:rsidRDefault="00D2352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592F6B" w:rsidRDefault="00592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B18">
          <w:rPr>
            <w:noProof/>
          </w:rPr>
          <w:t>18</w:t>
        </w:r>
        <w:r>
          <w:fldChar w:fldCharType="end"/>
        </w:r>
      </w:p>
    </w:sdtContent>
  </w:sdt>
  <w:p w:rsidR="00592F6B" w:rsidRDefault="00592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23" w:rsidRDefault="00D23523" w:rsidP="004F2A5C">
      <w:pPr>
        <w:spacing w:after="0" w:line="240" w:lineRule="auto"/>
      </w:pPr>
      <w:r>
        <w:separator/>
      </w:r>
    </w:p>
  </w:footnote>
  <w:footnote w:type="continuationSeparator" w:id="0">
    <w:p w:rsidR="00D23523" w:rsidRDefault="00D2352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5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9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4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E615C"/>
    <w:multiLevelType w:val="hybridMultilevel"/>
    <w:tmpl w:val="99562006"/>
    <w:lvl w:ilvl="0" w:tplc="10ACE9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8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1"/>
  </w:num>
  <w:num w:numId="3">
    <w:abstractNumId w:val="48"/>
  </w:num>
  <w:num w:numId="4">
    <w:abstractNumId w:val="40"/>
  </w:num>
  <w:num w:numId="5">
    <w:abstractNumId w:val="38"/>
  </w:num>
  <w:num w:numId="6">
    <w:abstractNumId w:val="44"/>
  </w:num>
  <w:num w:numId="7">
    <w:abstractNumId w:val="32"/>
  </w:num>
  <w:num w:numId="8">
    <w:abstractNumId w:val="9"/>
  </w:num>
  <w:num w:numId="9">
    <w:abstractNumId w:val="58"/>
  </w:num>
  <w:num w:numId="10">
    <w:abstractNumId w:val="43"/>
  </w:num>
  <w:num w:numId="11">
    <w:abstractNumId w:val="10"/>
  </w:num>
  <w:num w:numId="12">
    <w:abstractNumId w:val="45"/>
  </w:num>
  <w:num w:numId="13">
    <w:abstractNumId w:val="18"/>
  </w:num>
  <w:num w:numId="14">
    <w:abstractNumId w:val="33"/>
  </w:num>
  <w:num w:numId="15">
    <w:abstractNumId w:val="37"/>
  </w:num>
  <w:num w:numId="16">
    <w:abstractNumId w:val="35"/>
  </w:num>
  <w:num w:numId="17">
    <w:abstractNumId w:val="49"/>
  </w:num>
  <w:num w:numId="18">
    <w:abstractNumId w:val="15"/>
  </w:num>
  <w:num w:numId="19">
    <w:abstractNumId w:val="47"/>
  </w:num>
  <w:num w:numId="20">
    <w:abstractNumId w:val="7"/>
  </w:num>
  <w:num w:numId="21">
    <w:abstractNumId w:val="4"/>
  </w:num>
  <w:num w:numId="22">
    <w:abstractNumId w:val="3"/>
  </w:num>
  <w:num w:numId="23">
    <w:abstractNumId w:val="13"/>
  </w:num>
  <w:num w:numId="24">
    <w:abstractNumId w:val="54"/>
  </w:num>
  <w:num w:numId="25">
    <w:abstractNumId w:val="8"/>
  </w:num>
  <w:num w:numId="26">
    <w:abstractNumId w:val="42"/>
  </w:num>
  <w:num w:numId="27">
    <w:abstractNumId w:val="46"/>
  </w:num>
  <w:num w:numId="28">
    <w:abstractNumId w:val="11"/>
  </w:num>
  <w:num w:numId="29">
    <w:abstractNumId w:val="2"/>
  </w:num>
  <w:num w:numId="30">
    <w:abstractNumId w:val="1"/>
  </w:num>
  <w:num w:numId="31">
    <w:abstractNumId w:val="14"/>
  </w:num>
  <w:num w:numId="32">
    <w:abstractNumId w:val="53"/>
  </w:num>
  <w:num w:numId="33">
    <w:abstractNumId w:val="27"/>
  </w:num>
  <w:num w:numId="34">
    <w:abstractNumId w:val="12"/>
  </w:num>
  <w:num w:numId="35">
    <w:abstractNumId w:val="51"/>
  </w:num>
  <w:num w:numId="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</w:num>
  <w:num w:numId="42">
    <w:abstractNumId w:val="28"/>
  </w:num>
  <w:num w:numId="43">
    <w:abstractNumId w:val="6"/>
  </w:num>
  <w:num w:numId="44">
    <w:abstractNumId w:val="25"/>
  </w:num>
  <w:num w:numId="45">
    <w:abstractNumId w:val="16"/>
  </w:num>
  <w:num w:numId="46">
    <w:abstractNumId w:val="19"/>
  </w:num>
  <w:num w:numId="47">
    <w:abstractNumId w:val="52"/>
  </w:num>
  <w:num w:numId="48">
    <w:abstractNumId w:val="57"/>
  </w:num>
  <w:num w:numId="49">
    <w:abstractNumId w:val="24"/>
  </w:num>
  <w:num w:numId="50">
    <w:abstractNumId w:val="5"/>
  </w:num>
  <w:num w:numId="51">
    <w:abstractNumId w:val="0"/>
  </w:num>
  <w:num w:numId="52">
    <w:abstractNumId w:val="20"/>
  </w:num>
  <w:num w:numId="53">
    <w:abstractNumId w:val="56"/>
  </w:num>
  <w:num w:numId="54">
    <w:abstractNumId w:val="34"/>
  </w:num>
  <w:num w:numId="55">
    <w:abstractNumId w:val="29"/>
  </w:num>
  <w:num w:numId="56">
    <w:abstractNumId w:val="50"/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1B24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21FD0"/>
    <w:rsid w:val="00231C0C"/>
    <w:rsid w:val="002409C3"/>
    <w:rsid w:val="00250BE2"/>
    <w:rsid w:val="00254054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B2B21"/>
    <w:rsid w:val="003B515A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50597"/>
    <w:rsid w:val="00450E11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8441F"/>
    <w:rsid w:val="00592F6B"/>
    <w:rsid w:val="005D5C35"/>
    <w:rsid w:val="005E325C"/>
    <w:rsid w:val="005F7B18"/>
    <w:rsid w:val="00612F68"/>
    <w:rsid w:val="0063256D"/>
    <w:rsid w:val="00634426"/>
    <w:rsid w:val="00635443"/>
    <w:rsid w:val="00656F63"/>
    <w:rsid w:val="0067262D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A0352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16B9"/>
    <w:rsid w:val="009401B1"/>
    <w:rsid w:val="0094416F"/>
    <w:rsid w:val="00963967"/>
    <w:rsid w:val="009671A6"/>
    <w:rsid w:val="009725AD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7113B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228CD"/>
    <w:rsid w:val="00C50842"/>
    <w:rsid w:val="00C63376"/>
    <w:rsid w:val="00C73A88"/>
    <w:rsid w:val="00C74546"/>
    <w:rsid w:val="00C91D71"/>
    <w:rsid w:val="00C93D7B"/>
    <w:rsid w:val="00C940EB"/>
    <w:rsid w:val="00CA0DD0"/>
    <w:rsid w:val="00CA148F"/>
    <w:rsid w:val="00CA656A"/>
    <w:rsid w:val="00CB4B00"/>
    <w:rsid w:val="00CC0CAA"/>
    <w:rsid w:val="00CC457F"/>
    <w:rsid w:val="00CC7ECD"/>
    <w:rsid w:val="00CD6E89"/>
    <w:rsid w:val="00CE654F"/>
    <w:rsid w:val="00CF21EA"/>
    <w:rsid w:val="00D0784F"/>
    <w:rsid w:val="00D1716D"/>
    <w:rsid w:val="00D2179A"/>
    <w:rsid w:val="00D21F4C"/>
    <w:rsid w:val="00D23523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29D1"/>
    <w:rsid w:val="00D968C4"/>
    <w:rsid w:val="00DC1301"/>
    <w:rsid w:val="00DC565C"/>
    <w:rsid w:val="00DD7EC2"/>
    <w:rsid w:val="00DE075A"/>
    <w:rsid w:val="00DE412B"/>
    <w:rsid w:val="00E0571B"/>
    <w:rsid w:val="00E16213"/>
    <w:rsid w:val="00E2281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A10C2"/>
    <w:rsid w:val="00FB3A0E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B051-C1C8-4823-AFCF-6E9BEE9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18</Pages>
  <Words>5528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208</cp:revision>
  <cp:lastPrinted>2022-04-12T06:22:00Z</cp:lastPrinted>
  <dcterms:created xsi:type="dcterms:W3CDTF">2020-11-09T07:08:00Z</dcterms:created>
  <dcterms:modified xsi:type="dcterms:W3CDTF">2022-04-12T06:23:00Z</dcterms:modified>
</cp:coreProperties>
</file>