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61" w:rsidRDefault="006D2361">
      <w:pPr>
        <w:pStyle w:val="Standard"/>
        <w:tabs>
          <w:tab w:val="left" w:pos="10005"/>
        </w:tabs>
        <w:ind w:firstLine="7920"/>
        <w:jc w:val="center"/>
        <w:rPr>
          <w:b/>
          <w:bCs/>
          <w:i/>
          <w:iCs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1"/>
        <w:gridCol w:w="7071"/>
      </w:tblGrid>
      <w:tr w:rsidR="006D2361">
        <w:tblPrEx>
          <w:tblCellMar>
            <w:top w:w="0" w:type="dxa"/>
            <w:bottom w:w="0" w:type="dxa"/>
          </w:tblCellMar>
        </w:tblPrEx>
        <w:tc>
          <w:tcPr>
            <w:tcW w:w="7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61" w:rsidRDefault="006D2361">
            <w:pPr>
              <w:pStyle w:val="Standard"/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61" w:rsidRDefault="00614A5D">
            <w:pPr>
              <w:pStyle w:val="Standard"/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Sprawa nr 47/D/2023</w:t>
            </w:r>
          </w:p>
        </w:tc>
      </w:tr>
    </w:tbl>
    <w:p w:rsidR="006D2361" w:rsidRDefault="00614A5D">
      <w:pPr>
        <w:pStyle w:val="Standard"/>
        <w:jc w:val="center"/>
        <w:rPr>
          <w:b/>
          <w:bCs/>
          <w:spacing w:val="40"/>
          <w:sz w:val="20"/>
          <w:szCs w:val="20"/>
        </w:rPr>
      </w:pPr>
      <w:r>
        <w:rPr>
          <w:b/>
          <w:bCs/>
          <w:spacing w:val="40"/>
          <w:sz w:val="20"/>
          <w:szCs w:val="20"/>
        </w:rPr>
        <w:t>ARKUSZ ASORTYMENTOWO-CENOWY</w:t>
      </w: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1"/>
        <w:gridCol w:w="7071"/>
      </w:tblGrid>
      <w:tr w:rsidR="006D2361">
        <w:tblPrEx>
          <w:tblCellMar>
            <w:top w:w="0" w:type="dxa"/>
            <w:bottom w:w="0" w:type="dxa"/>
          </w:tblCellMar>
        </w:tblPrEx>
        <w:tc>
          <w:tcPr>
            <w:tcW w:w="7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61" w:rsidRDefault="00614A5D">
            <w:pPr>
              <w:pStyle w:val="Standard"/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CPV  33141613-0</w:t>
            </w:r>
          </w:p>
        </w:tc>
        <w:tc>
          <w:tcPr>
            <w:tcW w:w="7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61" w:rsidRDefault="00614A5D">
            <w:pPr>
              <w:pStyle w:val="Standard"/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2 do SWZ</w:t>
            </w:r>
          </w:p>
          <w:p w:rsidR="006D2361" w:rsidRDefault="00614A5D">
            <w:pPr>
              <w:pStyle w:val="Standard"/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1 do Umowy</w:t>
            </w:r>
          </w:p>
        </w:tc>
      </w:tr>
    </w:tbl>
    <w:p w:rsidR="006D2361" w:rsidRDefault="006D2361">
      <w:pPr>
        <w:pStyle w:val="Standard"/>
        <w:rPr>
          <w:sz w:val="20"/>
          <w:szCs w:val="20"/>
        </w:rPr>
      </w:pPr>
    </w:p>
    <w:tbl>
      <w:tblPr>
        <w:tblW w:w="15630" w:type="dxa"/>
        <w:tblInd w:w="-9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2280"/>
        <w:gridCol w:w="1360"/>
        <w:gridCol w:w="1085"/>
        <w:gridCol w:w="1710"/>
        <w:gridCol w:w="1500"/>
        <w:gridCol w:w="1035"/>
        <w:gridCol w:w="1500"/>
        <w:gridCol w:w="1260"/>
        <w:gridCol w:w="1126"/>
      </w:tblGrid>
      <w:tr w:rsidR="006D2361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228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</w:t>
            </w:r>
          </w:p>
        </w:tc>
        <w:tc>
          <w:tcPr>
            <w:tcW w:w="136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opakowania zbiorczego</w:t>
            </w:r>
          </w:p>
        </w:tc>
        <w:tc>
          <w:tcPr>
            <w:tcW w:w="108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171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 </w:t>
            </w:r>
            <w:r>
              <w:rPr>
                <w:sz w:val="20"/>
                <w:szCs w:val="20"/>
              </w:rPr>
              <w:t>pochodzenia</w:t>
            </w:r>
          </w:p>
        </w:tc>
        <w:tc>
          <w:tcPr>
            <w:tcW w:w="150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103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150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</w:t>
            </w:r>
          </w:p>
        </w:tc>
      </w:tr>
      <w:tr w:rsidR="006D2361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74" w:type="dxa"/>
            <w:tcBorders>
              <w:top w:val="single" w:sz="4" w:space="0" w:color="000001"/>
              <w:lef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Pojemniki poczwórne góra-dół z filtrem </w:t>
            </w:r>
            <w:proofErr w:type="spellStart"/>
            <w:r>
              <w:rPr>
                <w:b/>
                <w:sz w:val="20"/>
                <w:szCs w:val="20"/>
              </w:rPr>
              <w:t>antyleukocytarnym</w:t>
            </w:r>
            <w:proofErr w:type="spellEnd"/>
            <w:r>
              <w:rPr>
                <w:b/>
                <w:sz w:val="20"/>
                <w:szCs w:val="20"/>
              </w:rPr>
              <w:t xml:space="preserve"> in-</w:t>
            </w:r>
            <w:proofErr w:type="spellStart"/>
            <w:r>
              <w:rPr>
                <w:b/>
                <w:sz w:val="20"/>
                <w:szCs w:val="20"/>
              </w:rPr>
              <w:t>line</w:t>
            </w:r>
            <w:proofErr w:type="spellEnd"/>
            <w:r>
              <w:rPr>
                <w:b/>
                <w:sz w:val="20"/>
                <w:szCs w:val="20"/>
              </w:rPr>
              <w:t xml:space="preserve"> do pobierania krwi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</w:tr>
      <w:tr w:rsidR="006D236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630" w:type="dxa"/>
            <w:gridSpan w:val="10"/>
            <w:tcBorders>
              <w:left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przedmiotu zamówienia: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Zestaw pojemników do pobierania krwi </w:t>
            </w:r>
            <w:r>
              <w:rPr>
                <w:color w:val="000000"/>
                <w:sz w:val="20"/>
                <w:szCs w:val="20"/>
              </w:rPr>
              <w:t xml:space="preserve">(pojemniki poczwórne typu góra-dół) do otrzymywania </w:t>
            </w:r>
            <w:proofErr w:type="spellStart"/>
            <w:r>
              <w:rPr>
                <w:color w:val="000000"/>
                <w:sz w:val="20"/>
                <w:szCs w:val="20"/>
              </w:rPr>
              <w:t>ubogoleukocytarnego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koncentratu krwinek czerwonych bez kożuszka </w:t>
            </w:r>
            <w:proofErr w:type="spellStart"/>
            <w:r>
              <w:rPr>
                <w:color w:val="000000"/>
                <w:sz w:val="20"/>
                <w:szCs w:val="20"/>
              </w:rPr>
              <w:t>leukocytarno</w:t>
            </w:r>
            <w:proofErr w:type="spellEnd"/>
            <w:r>
              <w:rPr>
                <w:color w:val="000000"/>
                <w:sz w:val="20"/>
                <w:szCs w:val="20"/>
              </w:rPr>
              <w:t>-płytkowego w roztworze wzbogacającym (</w:t>
            </w:r>
            <w:proofErr w:type="spellStart"/>
            <w:r>
              <w:rPr>
                <w:color w:val="000000"/>
                <w:sz w:val="20"/>
                <w:szCs w:val="20"/>
              </w:rPr>
              <w:t>UKKCz</w:t>
            </w:r>
            <w:proofErr w:type="spellEnd"/>
            <w:r>
              <w:rPr>
                <w:color w:val="000000"/>
                <w:sz w:val="20"/>
                <w:szCs w:val="20"/>
              </w:rPr>
              <w:t>/RW), osocza świeżo mrożonego (FFP), (możliwe do otrzymania - koncentrat krwinek pły</w:t>
            </w:r>
            <w:r>
              <w:rPr>
                <w:color w:val="000000"/>
                <w:sz w:val="20"/>
                <w:szCs w:val="20"/>
              </w:rPr>
              <w:t xml:space="preserve">tkowych z kożuszka),  z filtrem </w:t>
            </w:r>
            <w:proofErr w:type="spellStart"/>
            <w:r>
              <w:rPr>
                <w:color w:val="000000"/>
                <w:sz w:val="20"/>
                <w:szCs w:val="20"/>
              </w:rPr>
              <w:t>antyleukocytarnym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usuwania krwinek białych z koncentratu krwinek czerwonych, które są trwale i integralnie połączone drenami, zestaw zamknięty, sterylny, </w:t>
            </w:r>
            <w:proofErr w:type="spellStart"/>
            <w:r>
              <w:rPr>
                <w:color w:val="000000"/>
                <w:sz w:val="20"/>
                <w:szCs w:val="20"/>
              </w:rPr>
              <w:t>apirogenny</w:t>
            </w:r>
            <w:proofErr w:type="spellEnd"/>
            <w:r>
              <w:rPr>
                <w:color w:val="000000"/>
                <w:sz w:val="20"/>
                <w:szCs w:val="20"/>
              </w:rPr>
              <w:t>, zapewniający kontrolowany, zamknięty system przepływu m</w:t>
            </w:r>
            <w:r>
              <w:rPr>
                <w:color w:val="000000"/>
                <w:sz w:val="20"/>
                <w:szCs w:val="20"/>
              </w:rPr>
              <w:t>iędzy pojemnikami. Zestaw musi posiadać oznakowanie CE. Zamawiający dopuszcza pojemniki, w których po zakończeniu procesu produkcji znajdują się pojedyncze krople płynu będącego pozostałością po sterylizacji.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Materiał, z którego wykonany jest pojemnik </w:t>
            </w:r>
            <w:r>
              <w:rPr>
                <w:color w:val="000000"/>
                <w:sz w:val="20"/>
                <w:szCs w:val="20"/>
              </w:rPr>
              <w:t>główny i pojemniki transferowe oraz dreny musi być przejrzysty, umożliwiać wizualną ocenę płynu znajdującego się w pojemniku                                  (w szczególności wykrycie zmętnień), oraz musi być przepuszczalny dla optycznych detektorów używan</w:t>
            </w:r>
            <w:r>
              <w:rPr>
                <w:color w:val="000000"/>
                <w:sz w:val="20"/>
                <w:szCs w:val="20"/>
              </w:rPr>
              <w:t xml:space="preserve">ych pras w </w:t>
            </w:r>
            <w:proofErr w:type="spellStart"/>
            <w:r>
              <w:rPr>
                <w:color w:val="000000"/>
                <w:sz w:val="20"/>
                <w:szCs w:val="20"/>
              </w:rPr>
              <w:t>WCKiK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color w:val="000000"/>
                <w:sz w:val="20"/>
                <w:szCs w:val="20"/>
              </w:rPr>
              <w:t>Macopress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Smart, </w:t>
            </w:r>
            <w:proofErr w:type="spellStart"/>
            <w:r>
              <w:rPr>
                <w:color w:val="000000"/>
                <w:sz w:val="20"/>
                <w:szCs w:val="20"/>
              </w:rPr>
              <w:t>Optipress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II, </w:t>
            </w:r>
            <w:proofErr w:type="spellStart"/>
            <w:r>
              <w:rPr>
                <w:color w:val="000000"/>
                <w:sz w:val="20"/>
                <w:szCs w:val="20"/>
              </w:rPr>
              <w:t>Compomat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G5 plus).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Zestawy pojemników muszą być kompatybilne z posiadanymi prasami automatycznymi używanymi w </w:t>
            </w:r>
            <w:proofErr w:type="spellStart"/>
            <w:r>
              <w:rPr>
                <w:color w:val="000000"/>
                <w:sz w:val="20"/>
                <w:szCs w:val="20"/>
              </w:rPr>
              <w:t>WCKiK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Macopress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Smart, </w:t>
            </w:r>
            <w:proofErr w:type="spellStart"/>
            <w:r>
              <w:rPr>
                <w:color w:val="000000"/>
                <w:sz w:val="20"/>
                <w:szCs w:val="20"/>
              </w:rPr>
              <w:t>Optipress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II, </w:t>
            </w:r>
            <w:proofErr w:type="spellStart"/>
            <w:r>
              <w:rPr>
                <w:color w:val="000000"/>
                <w:sz w:val="20"/>
                <w:szCs w:val="20"/>
              </w:rPr>
              <w:t>Compomat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G5 plus).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Budowa:</w:t>
            </w:r>
          </w:p>
          <w:p w:rsidR="006D2361" w:rsidRDefault="00614A5D">
            <w:pPr>
              <w:pStyle w:val="Standard"/>
              <w:widowControl w:val="0"/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Pojemnik macierzysty do pob</w:t>
            </w:r>
            <w:r>
              <w:rPr>
                <w:color w:val="000000"/>
                <w:sz w:val="20"/>
                <w:szCs w:val="20"/>
              </w:rPr>
              <w:t>ierania 450 ml +/- 10% krwi zawierający płyn CPD w ilości zgodnej z obowiązującymi przepisami (63 ml),</w:t>
            </w:r>
          </w:p>
          <w:p w:rsidR="006D2361" w:rsidRDefault="00614A5D">
            <w:pPr>
              <w:pStyle w:val="Standard"/>
              <w:widowControl w:val="0"/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Pusty pojemnik górny o pojemności min. 400 ml, max. 600 ml do przechowywania FFP,</w:t>
            </w:r>
          </w:p>
          <w:p w:rsidR="006D2361" w:rsidRDefault="00614A5D">
            <w:pPr>
              <w:pStyle w:val="Standard"/>
              <w:widowControl w:val="0"/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Pojemnik dolny o pojemności min. 400 ml, max. 600 ml przeznaczony</w:t>
            </w:r>
            <w:r>
              <w:rPr>
                <w:color w:val="000000"/>
                <w:sz w:val="20"/>
                <w:szCs w:val="20"/>
              </w:rPr>
              <w:t xml:space="preserve"> do przechowywania Koncentratu Krwinek Czerwonych,</w:t>
            </w:r>
          </w:p>
          <w:p w:rsidR="006D2361" w:rsidRDefault="00614A5D">
            <w:pPr>
              <w:pStyle w:val="Standard"/>
              <w:widowControl w:val="0"/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 Filtr </w:t>
            </w:r>
            <w:proofErr w:type="spellStart"/>
            <w:r>
              <w:rPr>
                <w:color w:val="000000"/>
                <w:sz w:val="20"/>
                <w:szCs w:val="20"/>
              </w:rPr>
              <w:t>antyleukocytarny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6D2361" w:rsidRDefault="00614A5D">
            <w:pPr>
              <w:pStyle w:val="Standard"/>
              <w:widowControl w:val="0"/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e) Pojemnik odbiorczy zawierający 105 ml +/- 5 ml płynu SAGM lub ADSOL o pojemności min. 500 ml, max 600 ml (przeznaczony do przechowywania </w:t>
            </w:r>
            <w:proofErr w:type="spellStart"/>
            <w:r>
              <w:rPr>
                <w:color w:val="000000"/>
                <w:sz w:val="20"/>
                <w:szCs w:val="20"/>
              </w:rPr>
              <w:t>UKKCz</w:t>
            </w:r>
            <w:proofErr w:type="spellEnd"/>
            <w:r>
              <w:rPr>
                <w:color w:val="000000"/>
                <w:sz w:val="20"/>
                <w:szCs w:val="20"/>
              </w:rPr>
              <w:t>/RW przez 42 dni w      temperatu</w:t>
            </w:r>
            <w:r>
              <w:rPr>
                <w:color w:val="000000"/>
                <w:sz w:val="20"/>
                <w:szCs w:val="20"/>
              </w:rPr>
              <w:t>rze 2-6 st. C.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</w:pPr>
            <w:r>
              <w:rPr>
                <w:color w:val="000000"/>
                <w:sz w:val="20"/>
                <w:szCs w:val="20"/>
              </w:rPr>
              <w:t xml:space="preserve">Wymagany jest filtr </w:t>
            </w:r>
            <w:proofErr w:type="spellStart"/>
            <w:r>
              <w:rPr>
                <w:color w:val="000000"/>
                <w:sz w:val="20"/>
                <w:szCs w:val="20"/>
              </w:rPr>
              <w:t>antyleukocytarny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wbudowany w zestaw do pobierania, połączony z pojemnikiem dolnym i pojemnikiem odbiorczym, przystosowany do wirowania krwi pełnej przed preparatyką, z zachowaniem jałowości do usuwania krwinek białych z k</w:t>
            </w:r>
            <w:r>
              <w:rPr>
                <w:color w:val="000000"/>
                <w:sz w:val="20"/>
                <w:szCs w:val="20"/>
              </w:rPr>
              <w:t>oncentratu krwinek czerwonych do wartości poniżej 1 x 10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/ składnik, z jednoczesnym zachowaniem minimalizacji strat pozostałych komórkowych składników.   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Pojemniki muszą być odporne na wirowanie z przyspieszeniem minimum 5000 x g (w czasie 10 minut) przy</w:t>
            </w:r>
            <w:r>
              <w:rPr>
                <w:color w:val="000000"/>
                <w:sz w:val="20"/>
                <w:szCs w:val="20"/>
              </w:rPr>
              <w:t xml:space="preserve"> objętości pobranej krwi 450 ml +/- 10%. W czasie wirowania i preparatyki struktura żadnego pojemnika, ani drenu nie może ulegać odkształceniu.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Pojemnik transferowy do przechowywania osocza powinien zapewniać możliwość zamrażania szokowego w temperaturze </w:t>
            </w:r>
            <w:r>
              <w:rPr>
                <w:color w:val="000000"/>
                <w:sz w:val="20"/>
                <w:szCs w:val="20"/>
              </w:rPr>
              <w:t>minimum -60 st. C i bezpiecznego przechowywania osocza w temperaturze -25 st. C do -90 st. C przez 36 miesięcy z zachowaniem elastyczności i sterylności pojemnika.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Dren czerpalny do pobierania krwi musi mieć długość min. 100 cm, zakończony ostrą igłą 16G, </w:t>
            </w:r>
            <w:r>
              <w:rPr>
                <w:color w:val="000000"/>
                <w:sz w:val="20"/>
                <w:szCs w:val="20"/>
              </w:rPr>
              <w:t xml:space="preserve">poddaną obróbce zwiększającej poślizg (np. </w:t>
            </w:r>
            <w:proofErr w:type="spellStart"/>
            <w:r>
              <w:rPr>
                <w:color w:val="000000"/>
                <w:sz w:val="20"/>
                <w:szCs w:val="20"/>
              </w:rPr>
              <w:t>silikowanie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Konstrukcja igły musi gwarantować zapobieganie wycinaniu skóry, tkanki podskórnej i żyły (np. ostrze ścięte w dwóch płaszczyznach).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Igła musi być zabezpieczona zamkniętą osłonką w taki sposób, aby zd</w:t>
            </w:r>
            <w:r>
              <w:rPr>
                <w:color w:val="000000"/>
                <w:sz w:val="20"/>
                <w:szCs w:val="20"/>
              </w:rPr>
              <w:t>jęcie osłonki z ostrza było możliwe i łatwe bez użycia jakichkolwiek narzędzi, jedynie po przerwaniu łączenia osłonki z nasadą igły, bez możliwości ponownego zamocowania osłonki na igłę.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miejscu połączenia igły z drenem czerpalnym powinien być wygodny, z</w:t>
            </w:r>
            <w:r>
              <w:rPr>
                <w:color w:val="000000"/>
                <w:sz w:val="20"/>
                <w:szCs w:val="20"/>
              </w:rPr>
              <w:t>apobiegający ślizganiu się palców, uchwyt umożliwiający dokonanie wkłucia do żyły.</w:t>
            </w:r>
          </w:p>
          <w:p w:rsidR="00701558" w:rsidRDefault="00614A5D" w:rsidP="0070155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Zestaw powinien posiadać dodatkową osłonkę zapewniającą prawidłowe zabezpieczenie igły po pobraniu (umożliwiającą bezpieczne usunięcie igły z ramienia dawcy i zabezpieczenie</w:t>
            </w:r>
            <w:r>
              <w:rPr>
                <w:color w:val="000000"/>
                <w:sz w:val="20"/>
                <w:szCs w:val="20"/>
              </w:rPr>
              <w:t xml:space="preserve"> przed wystawieniem igły z osłonki-zabezpieczenie przed zakuciem) oraz jej łatwe i nieodwracalne zablokowanie po zakończeniu donacji.</w:t>
            </w:r>
          </w:p>
          <w:p w:rsidR="006D2361" w:rsidRPr="00701558" w:rsidRDefault="00614A5D" w:rsidP="0070155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 w:rsidRPr="00701558">
              <w:rPr>
                <w:color w:val="000000"/>
                <w:sz w:val="20"/>
                <w:szCs w:val="20"/>
              </w:rPr>
              <w:t xml:space="preserve">Pojemniki zaopatrzone w pojemnik na pierwszą krew do pobrania próbek z portem umożliwiającym pobranie próbek do badań w </w:t>
            </w:r>
            <w:r w:rsidRPr="00701558">
              <w:rPr>
                <w:color w:val="000000"/>
                <w:sz w:val="20"/>
                <w:szCs w:val="20"/>
              </w:rPr>
              <w:t xml:space="preserve">systemie próżniowym. Dren czerpalny oraz dren biegnący do pojemnika </w:t>
            </w:r>
            <w:r w:rsidRPr="00701558">
              <w:rPr>
                <w:sz w:val="20"/>
                <w:szCs w:val="20"/>
              </w:rPr>
              <w:t>probówkowego</w:t>
            </w:r>
            <w:r w:rsidRPr="00701558">
              <w:rPr>
                <w:color w:val="000000"/>
                <w:sz w:val="20"/>
                <w:szCs w:val="20"/>
              </w:rPr>
              <w:t xml:space="preserve"> (na pierwszą krew) wyposażony w zaciski uniemożliwiające ich zdjęcie z drenów.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Wszystkie dreny są elastyczne, łatwe w rolowaniu, umożliwiają wykonanie trwałych </w:t>
            </w:r>
            <w:proofErr w:type="spellStart"/>
            <w:r>
              <w:rPr>
                <w:color w:val="000000"/>
                <w:sz w:val="20"/>
                <w:szCs w:val="20"/>
              </w:rPr>
              <w:t>zgrzewów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oraz z</w:t>
            </w:r>
            <w:r>
              <w:rPr>
                <w:color w:val="000000"/>
                <w:sz w:val="20"/>
                <w:szCs w:val="20"/>
              </w:rPr>
              <w:t xml:space="preserve">adziałanie zacisków </w:t>
            </w:r>
            <w:proofErr w:type="spellStart"/>
            <w:r>
              <w:rPr>
                <w:color w:val="000000"/>
                <w:sz w:val="20"/>
                <w:szCs w:val="20"/>
              </w:rPr>
              <w:t>wagomieszarek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Dreny powinny także umożliwiać skuteczne wykonywanie </w:t>
            </w:r>
            <w:proofErr w:type="spellStart"/>
            <w:r>
              <w:rPr>
                <w:color w:val="000000"/>
                <w:sz w:val="20"/>
                <w:szCs w:val="20"/>
              </w:rPr>
              <w:t>zgrzewów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 różnych typach zgrzewarek. Średnica drenów powinna mieć wymiary zapewniające możliwość ich połączenia w układzie zamkniętym i otwartym.</w:t>
            </w:r>
          </w:p>
          <w:p w:rsidR="001C019D" w:rsidRDefault="00614A5D" w:rsidP="001C019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Dren biegnący od daw</w:t>
            </w:r>
            <w:r>
              <w:rPr>
                <w:sz w:val="20"/>
                <w:szCs w:val="20"/>
              </w:rPr>
              <w:t>cy (dren czerpalny)  ma  być podłączony w dolnej części pojemnika macierzystego z CPD zaopatrzony w  zastawkę uniemożliwiającą przedostanie się płynu CPD powyżej połączenia drenu czerpalnego z drenem biegnącym do pojemnika probówkowego.</w:t>
            </w:r>
          </w:p>
          <w:p w:rsidR="006D2361" w:rsidRPr="001C019D" w:rsidRDefault="00614A5D" w:rsidP="001C019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sz w:val="20"/>
                <w:szCs w:val="20"/>
              </w:rPr>
            </w:pPr>
            <w:r w:rsidRPr="001C019D">
              <w:rPr>
                <w:color w:val="000000"/>
                <w:sz w:val="20"/>
                <w:szCs w:val="20"/>
              </w:rPr>
              <w:t>Nadruki na drenach</w:t>
            </w:r>
            <w:r w:rsidRPr="001C019D">
              <w:rPr>
                <w:color w:val="000000"/>
                <w:sz w:val="20"/>
                <w:szCs w:val="20"/>
              </w:rPr>
              <w:t xml:space="preserve"> wymagane na wszystkich drenach służących do wykonania pilotek.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Długość minimalna drenu pomiędzy pojemnikiem odbiorczym (przeznaczonym na </w:t>
            </w:r>
            <w:proofErr w:type="spellStart"/>
            <w:r>
              <w:rPr>
                <w:color w:val="000000"/>
                <w:sz w:val="20"/>
                <w:szCs w:val="20"/>
              </w:rPr>
              <w:t>UKKCz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/RW), a  filtrem </w:t>
            </w:r>
            <w:proofErr w:type="spellStart"/>
            <w:r>
              <w:rPr>
                <w:color w:val="000000"/>
                <w:sz w:val="20"/>
                <w:szCs w:val="20"/>
              </w:rPr>
              <w:t>antyleukocytarnym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 cm i musi zawierać nadruki na drenie.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Dodatkowy dren przy pojemniku na </w:t>
            </w:r>
            <w:proofErr w:type="spellStart"/>
            <w:r>
              <w:rPr>
                <w:color w:val="000000"/>
                <w:sz w:val="20"/>
                <w:szCs w:val="20"/>
              </w:rPr>
              <w:t>UKKC</w:t>
            </w:r>
            <w:r>
              <w:rPr>
                <w:color w:val="000000"/>
                <w:sz w:val="20"/>
                <w:szCs w:val="20"/>
              </w:rPr>
              <w:t>z</w:t>
            </w:r>
            <w:proofErr w:type="spellEnd"/>
            <w:r>
              <w:rPr>
                <w:color w:val="000000"/>
                <w:sz w:val="20"/>
                <w:szCs w:val="20"/>
              </w:rPr>
              <w:t>/RW o długości min. 40 cm.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dolnej krawędzi pojemnika pustego na osocze i pojemnika na </w:t>
            </w:r>
            <w:proofErr w:type="spellStart"/>
            <w:r>
              <w:rPr>
                <w:color w:val="000000"/>
                <w:sz w:val="20"/>
                <w:szCs w:val="20"/>
              </w:rPr>
              <w:t>UKKCz</w:t>
            </w:r>
            <w:proofErr w:type="spellEnd"/>
            <w:r>
              <w:rPr>
                <w:color w:val="000000"/>
                <w:sz w:val="20"/>
                <w:szCs w:val="20"/>
              </w:rPr>
              <w:t>/RW, centralnie powinno znajdować się podłużne nacięcie pojemnika umożliwiające zawieszenie pojemników na haczykach zestawów transfuzyjnych. Dodatkowo wzdłuż kr</w:t>
            </w:r>
            <w:r>
              <w:rPr>
                <w:color w:val="000000"/>
                <w:sz w:val="20"/>
                <w:szCs w:val="20"/>
              </w:rPr>
              <w:t>awędzi bocznych pojemników powinny znajdować się dwa podłużne nacięcia materiału pojemnika w równych odległościach, służące do przewlekania drenów z pilotkami.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Pojemniki puste na osocze i pojemniki na </w:t>
            </w:r>
            <w:proofErr w:type="spellStart"/>
            <w:r>
              <w:rPr>
                <w:color w:val="000000"/>
                <w:sz w:val="20"/>
                <w:szCs w:val="20"/>
              </w:rPr>
              <w:t>UKKCz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(z roztworem wzbogacającym) muszą posiadać po dwa</w:t>
            </w:r>
            <w:r>
              <w:rPr>
                <w:color w:val="000000"/>
                <w:sz w:val="20"/>
                <w:szCs w:val="20"/>
              </w:rPr>
              <w:t xml:space="preserve"> porty zabezpieczone membraną od wewnątrz oraz odpowiednią ochronę od zewnątrz zapewniająca jałowość, umożliwiające podłączenie stosowanych w Polsce przyrządów do przetaczania składników krwi.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pojemnikach do FFP, </w:t>
            </w:r>
            <w:proofErr w:type="spellStart"/>
            <w:r>
              <w:rPr>
                <w:color w:val="000000"/>
                <w:sz w:val="20"/>
                <w:szCs w:val="20"/>
              </w:rPr>
              <w:t>UKKCz</w:t>
            </w:r>
            <w:proofErr w:type="spellEnd"/>
            <w:r>
              <w:rPr>
                <w:color w:val="000000"/>
                <w:sz w:val="20"/>
                <w:szCs w:val="20"/>
              </w:rPr>
              <w:t>, i krwi pełnej muszą być trwale um</w:t>
            </w:r>
            <w:r>
              <w:rPr>
                <w:color w:val="000000"/>
                <w:sz w:val="20"/>
                <w:szCs w:val="20"/>
              </w:rPr>
              <w:t>ocowane etykiety wykonane z tworzywa sztucznego, które nie mogą ulegać uszkodzeniu ani odklejaniu w czasie preparatyki, przechowywania oraz uniemożliwić ich przypadkowe zerwanie przez użytkownika. Etykieta fabryczna powinna mieć wymiary umożliwiające przyk</w:t>
            </w:r>
            <w:r>
              <w:rPr>
                <w:color w:val="000000"/>
                <w:sz w:val="20"/>
                <w:szCs w:val="20"/>
              </w:rPr>
              <w:t>lejenie na niej etykiety głównej, zgodnej z wymaganiami ISBT 128 (międzynarodowy standard oznakowania krwi i jej składników).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Etykieta fabryczna musi posiadać znak CE oraz kody kreskowe odpowiadające wymogom standardu EAN 128 lub ISBT 128. Kody kreskowe po</w:t>
            </w:r>
            <w:r>
              <w:rPr>
                <w:color w:val="000000"/>
                <w:sz w:val="20"/>
                <w:szCs w:val="20"/>
              </w:rPr>
              <w:t>winny być odczytywane przez skaner (czytniki). Etykiety muszą zawierać; nazwę firmy, rodzaj pojemnika, rodzaj tworzywa z jakiego został wykonany, rodzaj i skład płynu konserwującego oraz RW (zamawiający dopuszcza informacje o składzie płynów na etykiecie w</w:t>
            </w:r>
            <w:r>
              <w:rPr>
                <w:color w:val="000000"/>
                <w:sz w:val="20"/>
                <w:szCs w:val="20"/>
              </w:rPr>
              <w:t xml:space="preserve"> języku angielskim lub łacińskim) nr serii i typ pojemnika w postaci literowo-cyfrowej i kodu kreskowego. Zamawiający dopuszcza etykietę z piktogramami zgodnymi z normami i standardami ISO 3826-2 pod warunkiem dołączenia instrukcji w języku polskim, wyjaśn</w:t>
            </w:r>
            <w:r>
              <w:rPr>
                <w:color w:val="000000"/>
                <w:sz w:val="20"/>
                <w:szCs w:val="20"/>
              </w:rPr>
              <w:t>iającej znaczenie piktogramów.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10685"/>
              </w:tabs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Każdy pojedynczy zestaw powinien być umieszczony w indywidualnym opakowaniu zewnętrznym zapewniającym szczelność, sterylność, dobrą odporność na uszkodzenia mechaniczne i czynniki atmosferyczne, z oznaczoną datą ważności i nr</w:t>
            </w:r>
            <w:r>
              <w:rPr>
                <w:color w:val="000000"/>
                <w:sz w:val="20"/>
                <w:szCs w:val="20"/>
              </w:rPr>
              <w:t xml:space="preserve"> serii LOT. Zamawiający dopuszcza, aby data ważności i nr LOT znajdowały się na etykiecie pojemnika macierzystego zestawu oraz na opakowaniu zbiorczym (kartonie) przy przezroczystym opakowaniu jednostkowym zestawu pojemników pozwalających na wizualną ocenę</w:t>
            </w:r>
            <w:r>
              <w:rPr>
                <w:color w:val="000000"/>
                <w:sz w:val="20"/>
                <w:szCs w:val="20"/>
              </w:rPr>
              <w:t xml:space="preserve"> jego zawartości bez konieczności jego otwierania. Dopuszcza się dodatkowe pakowanie opakowań indywidualnych po kilka sztuk, jednak takie dodatkowe opakowanie zabezpieczające musi być przezroczyste, umożliwiające wizualną kontrolę pojemników przed rozpakow</w:t>
            </w:r>
            <w:r>
              <w:rPr>
                <w:color w:val="000000"/>
                <w:sz w:val="20"/>
                <w:szCs w:val="20"/>
              </w:rPr>
              <w:t>aniem.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Króćce udrażniające przepływ między pojemnikami są przezroczyste i dają się łatwo wyłamać, kominki przy pojemnikach zaopatrzone w łatwo łamliwą membranę podczas preparatyki.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Roztwór wzbogacający ADSOL lub SAGM umożliwia przechowywanie otrzymanego </w:t>
            </w:r>
            <w:proofErr w:type="spellStart"/>
            <w:r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KKCz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standardowo przyjętym zakresie temperatur od 2 do 6 stopni C przez 42 dni.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Pojemniki są dopuszczone do obrotu na terenie Polski.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Wykonawca  do każdej dostawy dołączy certyfikat kontroli jakości dla każdej serii.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Zamawiający wymaga dostarczenia pojem</w:t>
            </w:r>
            <w:r>
              <w:rPr>
                <w:color w:val="000000"/>
                <w:sz w:val="20"/>
                <w:szCs w:val="20"/>
              </w:rPr>
              <w:t>ników jednej serii dla jednej dostawy. Pojemniki muszą być ułożone numerycznie.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transportowe powinno: nie ulegać łatwo zgnieceniom, być łatwe do przechowywania i transportu, nie wymagać użycia narzędzi ostrych do jego otwarcia. Powinno zawierać </w:t>
            </w:r>
            <w:r>
              <w:rPr>
                <w:sz w:val="20"/>
                <w:szCs w:val="20"/>
              </w:rPr>
              <w:t>następujące informacje w języku polskim: nazwa producenta, nazwa i rodzaj pojemników, ilości sztuk w opakowaniu, nr serii, kod REF, data ważności, warunki przechowywania. Zamawiający dopuszcza informację w postaci piktogramów zgodnych z normą i standardami</w:t>
            </w:r>
            <w:r>
              <w:rPr>
                <w:sz w:val="20"/>
                <w:szCs w:val="20"/>
              </w:rPr>
              <w:t xml:space="preserve"> ISO 3826-2 pod warunkiem dołączenia instrukcji w języku polskim, wyjaśniającym znaczenie piktogramów.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ważności pojemników mi</w:t>
            </w:r>
            <w:r>
              <w:rPr>
                <w:color w:val="000000"/>
                <w:sz w:val="20"/>
                <w:szCs w:val="20"/>
              </w:rPr>
              <w:t>nimum 12 miesięcy od daty dostawy do Zamawiającego.</w:t>
            </w:r>
          </w:p>
          <w:p w:rsidR="006D2361" w:rsidRDefault="00614A5D">
            <w:pPr>
              <w:pStyle w:val="Standard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Wykonawca zapewni przeszkolenie personelu Zamawiającego w placówkach </w:t>
            </w:r>
            <w:r>
              <w:rPr>
                <w:color w:val="000000"/>
                <w:sz w:val="20"/>
                <w:szCs w:val="20"/>
              </w:rPr>
              <w:t>odbiorców przed pierwszym użyciem pojemników.</w:t>
            </w:r>
          </w:p>
        </w:tc>
      </w:tr>
      <w:tr w:rsidR="006D236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30" w:type="dxa"/>
            <w:gridSpan w:val="10"/>
            <w:tcBorders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6D2361" w:rsidRDefault="006D2361">
      <w:pPr>
        <w:pStyle w:val="Standard"/>
        <w:jc w:val="both"/>
        <w:rPr>
          <w:sz w:val="20"/>
          <w:szCs w:val="20"/>
        </w:rPr>
      </w:pPr>
    </w:p>
    <w:p w:rsidR="006D2361" w:rsidRDefault="006D2361">
      <w:pPr>
        <w:pStyle w:val="Standard"/>
        <w:jc w:val="both"/>
        <w:rPr>
          <w:sz w:val="20"/>
          <w:szCs w:val="20"/>
        </w:rPr>
      </w:pPr>
    </w:p>
    <w:p w:rsidR="006D2361" w:rsidRDefault="006D2361">
      <w:pPr>
        <w:pStyle w:val="Standard"/>
        <w:jc w:val="both"/>
        <w:rPr>
          <w:sz w:val="20"/>
          <w:szCs w:val="20"/>
        </w:rPr>
      </w:pPr>
    </w:p>
    <w:p w:rsidR="006D2361" w:rsidRDefault="006D2361">
      <w:pPr>
        <w:pStyle w:val="Standard"/>
        <w:jc w:val="both"/>
        <w:rPr>
          <w:sz w:val="20"/>
          <w:szCs w:val="20"/>
        </w:rPr>
      </w:pPr>
    </w:p>
    <w:p w:rsidR="006D2361" w:rsidRDefault="006D2361">
      <w:pPr>
        <w:pStyle w:val="Standard"/>
        <w:jc w:val="center"/>
        <w:rPr>
          <w:sz w:val="20"/>
        </w:rPr>
      </w:pPr>
    </w:p>
    <w:tbl>
      <w:tblPr>
        <w:tblW w:w="15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6"/>
        <w:gridCol w:w="4208"/>
        <w:gridCol w:w="4714"/>
      </w:tblGrid>
      <w:tr w:rsidR="006D23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ogólna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 wymagany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Wypełnia Wykonawca</w:t>
            </w:r>
          </w:p>
        </w:tc>
      </w:tr>
      <w:tr w:rsidR="006D23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D2361">
            <w:pPr>
              <w:pStyle w:val="Standard"/>
              <w:widowControl w:val="0"/>
              <w:jc w:val="center"/>
              <w:rPr>
                <w:sz w:val="20"/>
              </w:rPr>
            </w:pPr>
          </w:p>
          <w:p w:rsidR="006D2361" w:rsidRDefault="00614A5D">
            <w:pPr>
              <w:pStyle w:val="Standard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Czas dostawy do magazynu Zamawiającego –</w:t>
            </w:r>
          </w:p>
          <w:p w:rsidR="006D2361" w:rsidRDefault="00614A5D">
            <w:pPr>
              <w:pStyle w:val="Standard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maksymalnie w ciągu 14 dni roboczych od otrzymania zamówienia przez Wykonawcę</w:t>
            </w:r>
          </w:p>
          <w:p w:rsidR="006D2361" w:rsidRDefault="006D2361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Tak, podać oferowany czas</w:t>
            </w:r>
            <w:r>
              <w:rPr>
                <w:sz w:val="20"/>
              </w:rPr>
              <w:t xml:space="preserve"> dostawy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61" w:rsidRDefault="00614A5D">
            <w:pPr>
              <w:pStyle w:val="Standard"/>
              <w:widowControl w:val="0"/>
              <w:jc w:val="center"/>
            </w:pPr>
            <w:r>
              <w:rPr>
                <w:sz w:val="20"/>
              </w:rPr>
              <w:t>…….dni</w:t>
            </w:r>
            <w:r>
              <w:rPr>
                <w:sz w:val="20"/>
                <w:szCs w:val="20"/>
              </w:rPr>
              <w:t xml:space="preserve"> roboczych</w:t>
            </w:r>
          </w:p>
        </w:tc>
      </w:tr>
    </w:tbl>
    <w:p w:rsidR="006D2361" w:rsidRDefault="006D2361">
      <w:pPr>
        <w:pStyle w:val="Standard"/>
        <w:widowControl w:val="0"/>
        <w:rPr>
          <w:sz w:val="20"/>
          <w:szCs w:val="20"/>
        </w:rPr>
      </w:pPr>
    </w:p>
    <w:p w:rsidR="006D2361" w:rsidRDefault="00614A5D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celu potwierdzenia, że oferowane produkty odpowiadają wymaganiom określonym przez Zamawiającego, Zamawiający żąda następujących dokumentów oraz próbek:</w:t>
      </w:r>
    </w:p>
    <w:p w:rsidR="006D2361" w:rsidRDefault="00614A5D">
      <w:pPr>
        <w:pStyle w:val="Standard"/>
        <w:numPr>
          <w:ilvl w:val="0"/>
          <w:numId w:val="7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instrukcja w języku polskim,</w:t>
      </w:r>
    </w:p>
    <w:p w:rsidR="006D2361" w:rsidRDefault="00614A5D">
      <w:pPr>
        <w:pStyle w:val="Standard"/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deklaracja zgodności,</w:t>
      </w:r>
    </w:p>
    <w:p w:rsidR="006D2361" w:rsidRDefault="00614A5D">
      <w:pPr>
        <w:pStyle w:val="Standard"/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dokument CE,</w:t>
      </w:r>
    </w:p>
    <w:p w:rsidR="006D2361" w:rsidRDefault="00614A5D">
      <w:pPr>
        <w:pStyle w:val="Standard"/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zgłoszenie</w:t>
      </w:r>
      <w:r>
        <w:rPr>
          <w:sz w:val="20"/>
          <w:szCs w:val="20"/>
        </w:rPr>
        <w:t xml:space="preserve"> do bazy danych Prezesa </w:t>
      </w:r>
      <w:proofErr w:type="spellStart"/>
      <w:r>
        <w:rPr>
          <w:sz w:val="20"/>
          <w:szCs w:val="20"/>
        </w:rPr>
        <w:t>URPLWMiPB</w:t>
      </w:r>
      <w:proofErr w:type="spellEnd"/>
      <w:r>
        <w:rPr>
          <w:sz w:val="20"/>
          <w:szCs w:val="20"/>
        </w:rPr>
        <w:t xml:space="preserve"> na podstawie ustawy z dnia 7 kwietnia 2022 r. o wyrobach medycznych lub powiadomienie Prezesa </w:t>
      </w:r>
      <w:proofErr w:type="spellStart"/>
      <w:r>
        <w:rPr>
          <w:sz w:val="20"/>
          <w:szCs w:val="20"/>
        </w:rPr>
        <w:t>URPLWMiPB</w:t>
      </w:r>
      <w:proofErr w:type="spellEnd"/>
      <w:r>
        <w:rPr>
          <w:sz w:val="20"/>
          <w:szCs w:val="20"/>
        </w:rPr>
        <w:t xml:space="preserve"> o wprowadzeniu wyrobu na terytorium RP na podstawie ustawy z dnia 7  kwietnia 2022 r. o wyrobach medycznych.</w:t>
      </w:r>
    </w:p>
    <w:p w:rsidR="006D2361" w:rsidRDefault="00614A5D">
      <w:pPr>
        <w:pStyle w:val="Standard"/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próbki </w:t>
      </w:r>
      <w:r>
        <w:rPr>
          <w:sz w:val="20"/>
          <w:szCs w:val="20"/>
        </w:rPr>
        <w:t>oferowanego produktu – 5 sztuk  (min. 3 próbki zostaną ocenione zgodnie z Kartą oceny próbk</w:t>
      </w:r>
      <w:bookmarkStart w:id="0" w:name="_GoBack"/>
      <w:bookmarkEnd w:id="0"/>
      <w:r>
        <w:rPr>
          <w:sz w:val="20"/>
          <w:szCs w:val="20"/>
        </w:rPr>
        <w:t xml:space="preserve">i przedmiotu zamówienia). Próbki należy przesłać do </w:t>
      </w:r>
      <w:proofErr w:type="spellStart"/>
      <w:r>
        <w:rPr>
          <w:sz w:val="20"/>
          <w:szCs w:val="20"/>
        </w:rPr>
        <w:t>WCKiK</w:t>
      </w:r>
      <w:proofErr w:type="spellEnd"/>
      <w:r>
        <w:rPr>
          <w:sz w:val="20"/>
          <w:szCs w:val="20"/>
        </w:rPr>
        <w:t xml:space="preserve"> SPZOZ ul. Koszykowa 78, 00-671 Warszawa,</w:t>
      </w:r>
    </w:p>
    <w:p w:rsidR="006D2361" w:rsidRDefault="00614A5D">
      <w:pPr>
        <w:pStyle w:val="Standard"/>
        <w:numPr>
          <w:ilvl w:val="0"/>
          <w:numId w:val="2"/>
        </w:numPr>
        <w:tabs>
          <w:tab w:val="left" w:pos="-2972"/>
        </w:tabs>
        <w:jc w:val="both"/>
        <w:rPr>
          <w:sz w:val="20"/>
          <w:szCs w:val="20"/>
        </w:rPr>
      </w:pPr>
      <w:r>
        <w:rPr>
          <w:sz w:val="20"/>
          <w:szCs w:val="20"/>
        </w:rPr>
        <w:t>opinię co najmniej dwóch użytkowników pojemników poczwórnych góra-</w:t>
      </w:r>
      <w:r>
        <w:rPr>
          <w:sz w:val="20"/>
          <w:szCs w:val="20"/>
        </w:rPr>
        <w:t xml:space="preserve">dół z filtrem </w:t>
      </w:r>
      <w:proofErr w:type="spellStart"/>
      <w:r>
        <w:rPr>
          <w:sz w:val="20"/>
          <w:szCs w:val="20"/>
        </w:rPr>
        <w:t>antyleukocytarnym</w:t>
      </w:r>
      <w:proofErr w:type="spellEnd"/>
      <w:r>
        <w:rPr>
          <w:sz w:val="20"/>
          <w:szCs w:val="20"/>
        </w:rPr>
        <w:t xml:space="preserve"> in-</w:t>
      </w:r>
      <w:proofErr w:type="spellStart"/>
      <w:r>
        <w:rPr>
          <w:sz w:val="20"/>
          <w:szCs w:val="20"/>
        </w:rPr>
        <w:t>line</w:t>
      </w:r>
      <w:proofErr w:type="spellEnd"/>
      <w:r>
        <w:rPr>
          <w:sz w:val="20"/>
          <w:szCs w:val="20"/>
        </w:rPr>
        <w:t xml:space="preserve"> do pobierania krwi.</w:t>
      </w:r>
    </w:p>
    <w:p w:rsidR="006D2361" w:rsidRDefault="006D2361">
      <w:pPr>
        <w:pStyle w:val="Standard"/>
        <w:ind w:firstLine="7920"/>
        <w:jc w:val="center"/>
        <w:rPr>
          <w:sz w:val="20"/>
          <w:szCs w:val="20"/>
        </w:rPr>
      </w:pPr>
    </w:p>
    <w:p w:rsidR="006D2361" w:rsidRDefault="00614A5D">
      <w:pPr>
        <w:pStyle w:val="Standard"/>
        <w:jc w:val="both"/>
      </w:pPr>
      <w:r>
        <w:rPr>
          <w:b/>
          <w:sz w:val="20"/>
          <w:szCs w:val="20"/>
        </w:rPr>
        <w:t>Miejsce dostaw</w:t>
      </w:r>
      <w:r>
        <w:rPr>
          <w:sz w:val="20"/>
          <w:szCs w:val="20"/>
        </w:rPr>
        <w:t>: Zespół Medyczny w Warszawie, Terenowa Stacja w Krakowie,  Lublinie, Ełku, Szczecinie oraz Gdańsku.</w:t>
      </w:r>
    </w:p>
    <w:p w:rsidR="006D2361" w:rsidRDefault="006D2361">
      <w:pPr>
        <w:pStyle w:val="Standard"/>
        <w:ind w:firstLine="7920"/>
        <w:jc w:val="center"/>
        <w:rPr>
          <w:sz w:val="20"/>
          <w:szCs w:val="20"/>
        </w:rPr>
      </w:pPr>
    </w:p>
    <w:p w:rsidR="006D2361" w:rsidRDefault="006D2361">
      <w:pPr>
        <w:pStyle w:val="Standard"/>
        <w:ind w:firstLine="7920"/>
        <w:jc w:val="center"/>
        <w:rPr>
          <w:sz w:val="20"/>
          <w:szCs w:val="20"/>
        </w:rPr>
      </w:pPr>
    </w:p>
    <w:p w:rsidR="006D2361" w:rsidRDefault="006D2361">
      <w:pPr>
        <w:pStyle w:val="Standard"/>
        <w:ind w:firstLine="7920"/>
        <w:jc w:val="center"/>
        <w:rPr>
          <w:sz w:val="20"/>
          <w:szCs w:val="20"/>
        </w:rPr>
      </w:pPr>
    </w:p>
    <w:p w:rsidR="006D2361" w:rsidRDefault="00614A5D">
      <w:pPr>
        <w:pStyle w:val="Standard"/>
        <w:ind w:firstLine="9356"/>
        <w:jc w:val="center"/>
      </w:pPr>
      <w:r>
        <w:rPr>
          <w:i/>
          <w:sz w:val="20"/>
        </w:rPr>
        <w:t xml:space="preserve"> </w:t>
      </w:r>
      <w:r>
        <w:rPr>
          <w:sz w:val="20"/>
        </w:rPr>
        <w:t>…………………………………</w:t>
      </w:r>
    </w:p>
    <w:p w:rsidR="006D2361" w:rsidRDefault="00614A5D">
      <w:pPr>
        <w:pStyle w:val="Textbody"/>
        <w:jc w:val="right"/>
        <w:rPr>
          <w:i/>
          <w:sz w:val="20"/>
        </w:rPr>
      </w:pPr>
      <w:r>
        <w:rPr>
          <w:i/>
          <w:sz w:val="20"/>
        </w:rPr>
        <w:t xml:space="preserve">(Kwalifikowany podpis elektroniczny osoby/osób) </w:t>
      </w:r>
      <w:r>
        <w:rPr>
          <w:i/>
          <w:sz w:val="20"/>
        </w:rPr>
        <w:br/>
      </w:r>
      <w:r>
        <w:rPr>
          <w:i/>
          <w:sz w:val="20"/>
        </w:rPr>
        <w:t>             </w:t>
      </w:r>
      <w:r>
        <w:rPr>
          <w:i/>
          <w:sz w:val="20"/>
        </w:rPr>
        <w:t>                                        upoważnionej (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>) do reprezentowania Wykonawcy</w:t>
      </w:r>
    </w:p>
    <w:p w:rsidR="006D2361" w:rsidRDefault="006D2361">
      <w:pPr>
        <w:pStyle w:val="Standard"/>
        <w:ind w:firstLine="9356"/>
        <w:jc w:val="right"/>
        <w:rPr>
          <w:i/>
          <w:sz w:val="20"/>
        </w:rPr>
      </w:pPr>
    </w:p>
    <w:p w:rsidR="006D2361" w:rsidRDefault="006D2361">
      <w:pPr>
        <w:pStyle w:val="Standard"/>
      </w:pPr>
    </w:p>
    <w:p w:rsidR="006D2361" w:rsidRDefault="006D2361">
      <w:pPr>
        <w:pStyle w:val="Standard"/>
      </w:pPr>
    </w:p>
    <w:p w:rsidR="006D2361" w:rsidRDefault="006D2361">
      <w:pPr>
        <w:pStyle w:val="Standard"/>
      </w:pPr>
    </w:p>
    <w:p w:rsidR="006D2361" w:rsidRDefault="006D2361">
      <w:pPr>
        <w:pStyle w:val="Standard"/>
      </w:pPr>
    </w:p>
    <w:p w:rsidR="006D2361" w:rsidRDefault="006D2361">
      <w:pPr>
        <w:pStyle w:val="Standard"/>
      </w:pPr>
    </w:p>
    <w:p w:rsidR="006D2361" w:rsidRDefault="006D2361">
      <w:pPr>
        <w:pStyle w:val="Standard"/>
      </w:pPr>
    </w:p>
    <w:p w:rsidR="006D2361" w:rsidRDefault="006D2361">
      <w:pPr>
        <w:pStyle w:val="Standard"/>
      </w:pPr>
    </w:p>
    <w:p w:rsidR="006D2361" w:rsidRDefault="006D2361">
      <w:pPr>
        <w:pStyle w:val="Standard"/>
      </w:pPr>
    </w:p>
    <w:sectPr w:rsidR="006D2361">
      <w:footerReference w:type="default" r:id="rId8"/>
      <w:pgSz w:w="16838" w:h="11906" w:orient="landscape"/>
      <w:pgMar w:top="708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A5D">
      <w:r>
        <w:separator/>
      </w:r>
    </w:p>
  </w:endnote>
  <w:endnote w:type="continuationSeparator" w:id="0">
    <w:p w:rsidR="00000000" w:rsidRDefault="0061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43" w:rsidRDefault="00614A5D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A5D">
      <w:r>
        <w:rPr>
          <w:color w:val="000000"/>
        </w:rPr>
        <w:separator/>
      </w:r>
    </w:p>
  </w:footnote>
  <w:footnote w:type="continuationSeparator" w:id="0">
    <w:p w:rsidR="00000000" w:rsidRDefault="0061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3E3"/>
    <w:multiLevelType w:val="multilevel"/>
    <w:tmpl w:val="4C9A28A4"/>
    <w:styleLink w:val="WWNum2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3571507"/>
    <w:multiLevelType w:val="multilevel"/>
    <w:tmpl w:val="E332B59C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477228A"/>
    <w:multiLevelType w:val="multilevel"/>
    <w:tmpl w:val="88360ADE"/>
    <w:styleLink w:val="WWNum2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AFB2B3B"/>
    <w:multiLevelType w:val="multilevel"/>
    <w:tmpl w:val="76840420"/>
    <w:styleLink w:val="WWNum1a"/>
    <w:lvl w:ilvl="0">
      <w:start w:val="1"/>
      <w:numFmt w:val="decimal"/>
      <w:lvlText w:val="%1."/>
      <w:lvlJc w:val="left"/>
      <w:rPr>
        <w:rFonts w:ascii="Times New Roman" w:eastAsia="Times New Roman" w:hAnsi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BBA4F38"/>
    <w:multiLevelType w:val="multilevel"/>
    <w:tmpl w:val="C77C7AE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2361"/>
    <w:rsid w:val="001C019D"/>
    <w:rsid w:val="00614A5D"/>
    <w:rsid w:val="006D2361"/>
    <w:rsid w:val="00701558"/>
    <w:rsid w:val="00E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Standard"/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rPr>
      <w:b/>
      <w:bCs/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suppressAutoHyphens/>
      <w:textAlignment w:val="auto"/>
    </w:pPr>
    <w:rPr>
      <w:rFonts w:ascii="Times New Roman" w:eastAsia="Times New Roman" w:hAnsi="Times New Roman" w:cs="Times New Roman"/>
      <w:kern w:val="0"/>
      <w:sz w:val="20"/>
      <w:szCs w:val="24"/>
      <w:lang w:eastAsia="pl-PL"/>
    </w:r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</w:rPr>
  </w:style>
  <w:style w:type="paragraph" w:customStyle="1" w:styleId="Standardowy11">
    <w:name w:val="Standardowy11"/>
    <w:pPr>
      <w:widowControl/>
      <w:suppressAutoHyphens/>
    </w:pPr>
    <w:rPr>
      <w:rFonts w:ascii="Times New Roman" w:eastAsia="Times New Roman" w:hAnsi="Times New Roman" w:cs="Times New Roman"/>
      <w:kern w:val="0"/>
      <w:sz w:val="20"/>
      <w:szCs w:val="24"/>
      <w:lang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  <w:rPr>
      <w:rFonts w:cs="Wingdings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45">
    <w:name w:val="ListLabel 45"/>
  </w:style>
  <w:style w:type="character" w:customStyle="1" w:styleId="ListLabel44">
    <w:name w:val="ListLabel 44"/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</w:style>
  <w:style w:type="character" w:customStyle="1" w:styleId="ListLabel37">
    <w:name w:val="ListLabel 37"/>
  </w:style>
  <w:style w:type="character" w:customStyle="1" w:styleId="ListLabel36">
    <w:name w:val="ListLabel 36"/>
    <w:rPr>
      <w:rFonts w:ascii="Times New Roman" w:hAnsi="Times New Roman"/>
      <w:sz w:val="20"/>
      <w:szCs w:val="20"/>
    </w:rPr>
  </w:style>
  <w:style w:type="character" w:customStyle="1" w:styleId="ListLabel35">
    <w:name w:val="ListLabel 35"/>
    <w:rPr>
      <w:rFonts w:ascii="Times New Roman" w:hAnsi="Times New Roman"/>
      <w:sz w:val="20"/>
      <w:szCs w:val="20"/>
    </w:rPr>
  </w:style>
  <w:style w:type="character" w:customStyle="1" w:styleId="ListLabel34">
    <w:name w:val="ListLabel 34"/>
    <w:rPr>
      <w:rFonts w:ascii="Times New Roman" w:hAnsi="Times New Roman"/>
      <w:sz w:val="20"/>
      <w:szCs w:val="20"/>
    </w:rPr>
  </w:style>
  <w:style w:type="character" w:customStyle="1" w:styleId="ListLabel33">
    <w:name w:val="ListLabel 33"/>
    <w:rPr>
      <w:rFonts w:ascii="Times New Roman" w:hAnsi="Times New Roman"/>
      <w:sz w:val="20"/>
      <w:szCs w:val="20"/>
    </w:rPr>
  </w:style>
  <w:style w:type="character" w:customStyle="1" w:styleId="ListLabel32">
    <w:name w:val="ListLabel 32"/>
    <w:rPr>
      <w:rFonts w:ascii="Times New Roman" w:hAnsi="Times New Roman"/>
      <w:sz w:val="20"/>
      <w:szCs w:val="20"/>
    </w:rPr>
  </w:style>
  <w:style w:type="character" w:customStyle="1" w:styleId="ListLabel31">
    <w:name w:val="ListLabel 31"/>
    <w:rPr>
      <w:rFonts w:ascii="Times New Roman" w:hAnsi="Times New Roman"/>
      <w:sz w:val="20"/>
      <w:szCs w:val="20"/>
    </w:rPr>
  </w:style>
  <w:style w:type="character" w:customStyle="1" w:styleId="ListLabel30">
    <w:name w:val="ListLabel 30"/>
    <w:rPr>
      <w:rFonts w:ascii="Times New Roman" w:hAnsi="Times New Roman"/>
      <w:sz w:val="20"/>
      <w:szCs w:val="20"/>
    </w:rPr>
  </w:style>
  <w:style w:type="character" w:customStyle="1" w:styleId="ListLabel29">
    <w:name w:val="ListLabel 29"/>
    <w:rPr>
      <w:rFonts w:ascii="Times New Roman" w:hAnsi="Times New Roman"/>
      <w:sz w:val="20"/>
      <w:szCs w:val="20"/>
    </w:rPr>
  </w:style>
  <w:style w:type="character" w:customStyle="1" w:styleId="ListLabel28">
    <w:name w:val="ListLabel 28"/>
    <w:rPr>
      <w:rFonts w:ascii="Times New Roman" w:hAnsi="Times New Roman"/>
      <w:sz w:val="20"/>
      <w:szCs w:val="20"/>
    </w:rPr>
  </w:style>
  <w:style w:type="character" w:styleId="Numerstrony">
    <w:name w:val="page number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ListLabel46">
    <w:name w:val="ListLabel 46"/>
    <w:rPr>
      <w:rFonts w:ascii="Times New Roman" w:eastAsia="Times New Roman" w:hAnsi="Times New Roman"/>
      <w:sz w:val="18"/>
      <w:szCs w:val="18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1a">
    <w:name w:val="WWNum1a"/>
    <w:basedOn w:val="Bezlisty"/>
    <w:pPr>
      <w:numPr>
        <w:numId w:val="4"/>
      </w:numPr>
    </w:pPr>
  </w:style>
  <w:style w:type="numbering" w:customStyle="1" w:styleId="WWNum2a">
    <w:name w:val="WWNum2a"/>
    <w:basedOn w:val="Bezlisty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Standard"/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rPr>
      <w:b/>
      <w:bCs/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suppressAutoHyphens/>
      <w:textAlignment w:val="auto"/>
    </w:pPr>
    <w:rPr>
      <w:rFonts w:ascii="Times New Roman" w:eastAsia="Times New Roman" w:hAnsi="Times New Roman" w:cs="Times New Roman"/>
      <w:kern w:val="0"/>
      <w:sz w:val="20"/>
      <w:szCs w:val="24"/>
      <w:lang w:eastAsia="pl-PL"/>
    </w:r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</w:rPr>
  </w:style>
  <w:style w:type="paragraph" w:customStyle="1" w:styleId="Standardowy11">
    <w:name w:val="Standardowy11"/>
    <w:pPr>
      <w:widowControl/>
      <w:suppressAutoHyphens/>
    </w:pPr>
    <w:rPr>
      <w:rFonts w:ascii="Times New Roman" w:eastAsia="Times New Roman" w:hAnsi="Times New Roman" w:cs="Times New Roman"/>
      <w:kern w:val="0"/>
      <w:sz w:val="20"/>
      <w:szCs w:val="24"/>
      <w:lang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  <w:rPr>
      <w:rFonts w:cs="Wingdings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45">
    <w:name w:val="ListLabel 45"/>
  </w:style>
  <w:style w:type="character" w:customStyle="1" w:styleId="ListLabel44">
    <w:name w:val="ListLabel 44"/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</w:style>
  <w:style w:type="character" w:customStyle="1" w:styleId="ListLabel37">
    <w:name w:val="ListLabel 37"/>
  </w:style>
  <w:style w:type="character" w:customStyle="1" w:styleId="ListLabel36">
    <w:name w:val="ListLabel 36"/>
    <w:rPr>
      <w:rFonts w:ascii="Times New Roman" w:hAnsi="Times New Roman"/>
      <w:sz w:val="20"/>
      <w:szCs w:val="20"/>
    </w:rPr>
  </w:style>
  <w:style w:type="character" w:customStyle="1" w:styleId="ListLabel35">
    <w:name w:val="ListLabel 35"/>
    <w:rPr>
      <w:rFonts w:ascii="Times New Roman" w:hAnsi="Times New Roman"/>
      <w:sz w:val="20"/>
      <w:szCs w:val="20"/>
    </w:rPr>
  </w:style>
  <w:style w:type="character" w:customStyle="1" w:styleId="ListLabel34">
    <w:name w:val="ListLabel 34"/>
    <w:rPr>
      <w:rFonts w:ascii="Times New Roman" w:hAnsi="Times New Roman"/>
      <w:sz w:val="20"/>
      <w:szCs w:val="20"/>
    </w:rPr>
  </w:style>
  <w:style w:type="character" w:customStyle="1" w:styleId="ListLabel33">
    <w:name w:val="ListLabel 33"/>
    <w:rPr>
      <w:rFonts w:ascii="Times New Roman" w:hAnsi="Times New Roman"/>
      <w:sz w:val="20"/>
      <w:szCs w:val="20"/>
    </w:rPr>
  </w:style>
  <w:style w:type="character" w:customStyle="1" w:styleId="ListLabel32">
    <w:name w:val="ListLabel 32"/>
    <w:rPr>
      <w:rFonts w:ascii="Times New Roman" w:hAnsi="Times New Roman"/>
      <w:sz w:val="20"/>
      <w:szCs w:val="20"/>
    </w:rPr>
  </w:style>
  <w:style w:type="character" w:customStyle="1" w:styleId="ListLabel31">
    <w:name w:val="ListLabel 31"/>
    <w:rPr>
      <w:rFonts w:ascii="Times New Roman" w:hAnsi="Times New Roman"/>
      <w:sz w:val="20"/>
      <w:szCs w:val="20"/>
    </w:rPr>
  </w:style>
  <w:style w:type="character" w:customStyle="1" w:styleId="ListLabel30">
    <w:name w:val="ListLabel 30"/>
    <w:rPr>
      <w:rFonts w:ascii="Times New Roman" w:hAnsi="Times New Roman"/>
      <w:sz w:val="20"/>
      <w:szCs w:val="20"/>
    </w:rPr>
  </w:style>
  <w:style w:type="character" w:customStyle="1" w:styleId="ListLabel29">
    <w:name w:val="ListLabel 29"/>
    <w:rPr>
      <w:rFonts w:ascii="Times New Roman" w:hAnsi="Times New Roman"/>
      <w:sz w:val="20"/>
      <w:szCs w:val="20"/>
    </w:rPr>
  </w:style>
  <w:style w:type="character" w:customStyle="1" w:styleId="ListLabel28">
    <w:name w:val="ListLabel 28"/>
    <w:rPr>
      <w:rFonts w:ascii="Times New Roman" w:hAnsi="Times New Roman"/>
      <w:sz w:val="20"/>
      <w:szCs w:val="20"/>
    </w:rPr>
  </w:style>
  <w:style w:type="character" w:styleId="Numerstrony">
    <w:name w:val="page number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ListLabel46">
    <w:name w:val="ListLabel 46"/>
    <w:rPr>
      <w:rFonts w:ascii="Times New Roman" w:eastAsia="Times New Roman" w:hAnsi="Times New Roman"/>
      <w:sz w:val="18"/>
      <w:szCs w:val="18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1a">
    <w:name w:val="WWNum1a"/>
    <w:basedOn w:val="Bezlisty"/>
    <w:pPr>
      <w:numPr>
        <w:numId w:val="4"/>
      </w:numPr>
    </w:pPr>
  </w:style>
  <w:style w:type="numbering" w:customStyle="1" w:styleId="WWNum2a">
    <w:name w:val="WWNum2a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1499</Words>
  <Characters>8995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m.luciak</dc:creator>
  <cp:lastModifiedBy>Malgorzata Skalinska</cp:lastModifiedBy>
  <cp:revision>4</cp:revision>
  <cp:lastPrinted>2023-06-23T09:19:00Z</cp:lastPrinted>
  <dcterms:created xsi:type="dcterms:W3CDTF">2023-07-14T05:14:00Z</dcterms:created>
  <dcterms:modified xsi:type="dcterms:W3CDTF">2023-07-14T05:22:00Z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