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95C2" w14:textId="33EFA874" w:rsidR="00C11BE6" w:rsidRDefault="00AF16D9">
      <w:pPr>
        <w:spacing w:line="240" w:lineRule="auto"/>
        <w:jc w:val="right"/>
      </w:pPr>
      <w:r>
        <w:rPr>
          <w:rFonts w:ascii="Tahoma" w:hAnsi="Tahoma"/>
          <w:color w:val="000000"/>
        </w:rPr>
        <w:t>Chełmiec</w:t>
      </w:r>
      <w:r w:rsidR="009C6F94">
        <w:rPr>
          <w:rFonts w:ascii="Tahoma" w:hAnsi="Tahoma"/>
          <w:color w:val="000000"/>
        </w:rPr>
        <w:t>, dn</w:t>
      </w:r>
      <w:r w:rsidR="005068D0">
        <w:rPr>
          <w:rFonts w:ascii="Tahoma" w:hAnsi="Tahoma"/>
          <w:color w:val="000000"/>
        </w:rPr>
        <w:t>.</w:t>
      </w:r>
      <w:r w:rsidR="009C6F94">
        <w:rPr>
          <w:rFonts w:ascii="Tahoma" w:hAnsi="Tahoma"/>
          <w:color w:val="000000"/>
        </w:rPr>
        <w:t xml:space="preserve"> </w:t>
      </w:r>
      <w:r w:rsidR="00CB5D8F">
        <w:rPr>
          <w:rFonts w:ascii="Tahoma" w:hAnsi="Tahoma"/>
          <w:color w:val="000000"/>
        </w:rPr>
        <w:t>2</w:t>
      </w:r>
      <w:r w:rsidR="008345D1">
        <w:rPr>
          <w:rFonts w:ascii="Tahoma" w:hAnsi="Tahoma"/>
          <w:color w:val="000000"/>
        </w:rPr>
        <w:t>7</w:t>
      </w:r>
      <w:r w:rsidR="009C6F94">
        <w:rPr>
          <w:rFonts w:ascii="Tahoma" w:hAnsi="Tahoma"/>
          <w:color w:val="000000"/>
        </w:rPr>
        <w:t>.0</w:t>
      </w:r>
      <w:r w:rsidR="009966D9">
        <w:rPr>
          <w:rFonts w:ascii="Tahoma" w:hAnsi="Tahoma"/>
          <w:color w:val="000000"/>
        </w:rPr>
        <w:t>8</w:t>
      </w:r>
      <w:r w:rsidR="009C6F94">
        <w:rPr>
          <w:rFonts w:ascii="Tahoma" w:hAnsi="Tahoma"/>
          <w:color w:val="000000"/>
        </w:rPr>
        <w:t>.2021r</w:t>
      </w:r>
    </w:p>
    <w:p w14:paraId="6A23DB30" w14:textId="77777777" w:rsidR="00C11BE6" w:rsidRDefault="00C11BE6">
      <w:pPr>
        <w:spacing w:line="240" w:lineRule="auto"/>
        <w:jc w:val="center"/>
        <w:rPr>
          <w:rFonts w:ascii="Tahoma" w:hAnsi="Tahoma"/>
          <w:color w:val="000000"/>
        </w:rPr>
      </w:pPr>
    </w:p>
    <w:p w14:paraId="7C9CA49D" w14:textId="77777777" w:rsidR="00C11BE6" w:rsidRDefault="00C11BE6">
      <w:pPr>
        <w:spacing w:line="240" w:lineRule="auto"/>
        <w:jc w:val="center"/>
        <w:rPr>
          <w:rFonts w:ascii="Tahoma" w:hAnsi="Tahoma"/>
          <w:b/>
          <w:bCs/>
          <w:color w:val="000000"/>
        </w:rPr>
      </w:pPr>
    </w:p>
    <w:p w14:paraId="2064159F" w14:textId="77777777" w:rsidR="00C11BE6" w:rsidRDefault="009C6F94">
      <w:pPr>
        <w:spacing w:line="240" w:lineRule="auto"/>
        <w:jc w:val="center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ZAPYTANIE OFERTOWE</w:t>
      </w:r>
    </w:p>
    <w:p w14:paraId="3A9E2E88" w14:textId="18DEE993" w:rsidR="00C11BE6" w:rsidRDefault="009C6F94" w:rsidP="00526F6A">
      <w:pPr>
        <w:spacing w:line="240" w:lineRule="auto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Zamawiający zaprasza do składania ofert w postępowaniu prowadzonym w związku </w:t>
      </w:r>
      <w:r w:rsidR="00526F6A">
        <w:rPr>
          <w:rFonts w:ascii="Tahoma" w:hAnsi="Tahoma"/>
          <w:color w:val="000000"/>
        </w:rPr>
        <w:t xml:space="preserve"> </w:t>
      </w:r>
      <w:r w:rsidR="00500175">
        <w:rPr>
          <w:rFonts w:ascii="Tahoma" w:hAnsi="Tahoma"/>
          <w:color w:val="000000"/>
        </w:rPr>
        <w:t xml:space="preserve">                   </w:t>
      </w:r>
      <w:r>
        <w:rPr>
          <w:rFonts w:ascii="Tahoma" w:hAnsi="Tahoma"/>
          <w:color w:val="000000"/>
        </w:rPr>
        <w:t xml:space="preserve">z realizacją zamówienia na „Przeprowadzenie audytu dostępności architektonicznej </w:t>
      </w:r>
      <w:r w:rsidR="00500175">
        <w:rPr>
          <w:rFonts w:ascii="Tahoma" w:hAnsi="Tahoma"/>
          <w:color w:val="000000"/>
        </w:rPr>
        <w:t xml:space="preserve">                     </w:t>
      </w:r>
      <w:r>
        <w:rPr>
          <w:rFonts w:ascii="Tahoma" w:hAnsi="Tahoma"/>
          <w:color w:val="000000"/>
        </w:rPr>
        <w:t>i</w:t>
      </w:r>
      <w:r>
        <w:rPr>
          <w:rFonts w:ascii="Tahoma" w:eastAsia="Times New Roman" w:hAnsi="Tahoma" w:cs="Calibri"/>
          <w:color w:val="000000"/>
        </w:rPr>
        <w:t xml:space="preserve"> informacyjno-komunikacyjnej</w:t>
      </w:r>
      <w:r>
        <w:rPr>
          <w:rFonts w:ascii="Tahoma" w:hAnsi="Tahoma"/>
          <w:color w:val="000000"/>
        </w:rPr>
        <w:t xml:space="preserve"> obiektu Urzędu Gminy </w:t>
      </w:r>
      <w:r w:rsidR="00955A3E">
        <w:rPr>
          <w:rFonts w:ascii="Tahoma" w:hAnsi="Tahoma"/>
          <w:color w:val="000000"/>
        </w:rPr>
        <w:t>Chełmiec</w:t>
      </w:r>
      <w:r w:rsidR="00117431">
        <w:rPr>
          <w:rFonts w:ascii="Tahoma" w:hAnsi="Tahoma"/>
          <w:color w:val="000000"/>
        </w:rPr>
        <w:t xml:space="preserve">, ul. Papieska 2, 33-395 Chełmiec oraz </w:t>
      </w:r>
      <w:r w:rsidR="00B20E36">
        <w:rPr>
          <w:rFonts w:ascii="Tahoma" w:hAnsi="Tahoma"/>
          <w:color w:val="000000"/>
        </w:rPr>
        <w:t xml:space="preserve">w </w:t>
      </w:r>
      <w:r w:rsidR="00117431">
        <w:rPr>
          <w:rFonts w:ascii="Tahoma" w:hAnsi="Tahoma"/>
          <w:color w:val="000000"/>
        </w:rPr>
        <w:t>budynku</w:t>
      </w:r>
      <w:r w:rsidR="009966D9">
        <w:rPr>
          <w:rFonts w:ascii="Tahoma" w:hAnsi="Tahoma"/>
          <w:color w:val="000000"/>
        </w:rPr>
        <w:t xml:space="preserve"> przy</w:t>
      </w:r>
      <w:r w:rsidR="00117431">
        <w:rPr>
          <w:rFonts w:ascii="Tahoma" w:hAnsi="Tahoma"/>
          <w:color w:val="000000"/>
        </w:rPr>
        <w:t xml:space="preserve"> ul. Marcinkowicka 25, 33-395 Chełmiec</w:t>
      </w:r>
      <w:r>
        <w:rPr>
          <w:rFonts w:ascii="Tahoma" w:hAnsi="Tahoma"/>
          <w:color w:val="000000"/>
        </w:rPr>
        <w:t xml:space="preserve">,  zgodnie z </w:t>
      </w:r>
      <w:r>
        <w:rPr>
          <w:rFonts w:ascii="Tahoma" w:hAnsi="Tahoma"/>
          <w:color w:val="222222"/>
        </w:rPr>
        <w:t>Ustawą z dnia</w:t>
      </w:r>
      <w:r w:rsidR="00117431">
        <w:rPr>
          <w:rFonts w:ascii="Tahoma" w:hAnsi="Tahoma"/>
          <w:color w:val="222222"/>
        </w:rPr>
        <w:t xml:space="preserve"> </w:t>
      </w:r>
      <w:r>
        <w:rPr>
          <w:rFonts w:ascii="Tahoma" w:hAnsi="Tahoma"/>
          <w:color w:val="222222"/>
        </w:rPr>
        <w:t xml:space="preserve">19 lipca 2019r. o zapewnianiu dostępności osobom ze szczególnymi potrzebami </w:t>
      </w:r>
      <w:r>
        <w:rPr>
          <w:rFonts w:ascii="Tahoma" w:hAnsi="Tahoma"/>
          <w:color w:val="000000"/>
        </w:rPr>
        <w:t>wraz  z  rekomendacjami zmian poprawiających dostępność obiektu oraz zapewnianych usług”.</w:t>
      </w:r>
    </w:p>
    <w:p w14:paraId="616BF2F8" w14:textId="77777777" w:rsidR="00C11BE6" w:rsidRDefault="00C11BE6">
      <w:pPr>
        <w:spacing w:after="200" w:line="240" w:lineRule="auto"/>
        <w:contextualSpacing/>
        <w:rPr>
          <w:rFonts w:ascii="Tahoma" w:hAnsi="Tahoma"/>
          <w:b/>
          <w:color w:val="000000"/>
        </w:rPr>
      </w:pPr>
    </w:p>
    <w:p w14:paraId="0554EC97" w14:textId="77777777" w:rsidR="00C11BE6" w:rsidRDefault="009C6F94">
      <w:pPr>
        <w:spacing w:after="200" w:line="240" w:lineRule="auto"/>
        <w:contextualSpacing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 ZAMAWIAJĄCY</w:t>
      </w:r>
    </w:p>
    <w:p w14:paraId="2604FDD3" w14:textId="28688636" w:rsidR="00C11BE6" w:rsidRDefault="009C6F94">
      <w:pPr>
        <w:spacing w:after="200" w:line="240" w:lineRule="auto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GMINA </w:t>
      </w:r>
      <w:r w:rsidR="00526F6A">
        <w:rPr>
          <w:rFonts w:ascii="Tahoma" w:hAnsi="Tahoma"/>
          <w:color w:val="000000"/>
        </w:rPr>
        <w:t>CHEŁMIEC</w:t>
      </w:r>
    </w:p>
    <w:p w14:paraId="288A5E7F" w14:textId="573DA2F2" w:rsidR="00C11BE6" w:rsidRDefault="009C6F94">
      <w:pPr>
        <w:spacing w:after="200" w:line="240" w:lineRule="auto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33-3</w:t>
      </w:r>
      <w:r w:rsidR="00526F6A">
        <w:rPr>
          <w:rFonts w:ascii="Tahoma" w:hAnsi="Tahoma"/>
          <w:color w:val="000000"/>
        </w:rPr>
        <w:t>95 Chełmiec, ul. Papieska</w:t>
      </w:r>
      <w:r w:rsidR="0017524F">
        <w:rPr>
          <w:rFonts w:ascii="Tahoma" w:hAnsi="Tahoma"/>
          <w:color w:val="000000"/>
        </w:rPr>
        <w:t xml:space="preserve"> 2</w:t>
      </w:r>
    </w:p>
    <w:p w14:paraId="5F57F59E" w14:textId="5AC4ED56" w:rsidR="00C11BE6" w:rsidRDefault="009C6F94">
      <w:pPr>
        <w:spacing w:after="200" w:line="240" w:lineRule="auto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NIP: </w:t>
      </w:r>
      <w:r w:rsidR="006B7D48">
        <w:rPr>
          <w:rFonts w:ascii="Tahoma" w:hAnsi="Tahoma"/>
          <w:color w:val="000000"/>
        </w:rPr>
        <w:t>7343445768</w:t>
      </w:r>
    </w:p>
    <w:p w14:paraId="4C76932D" w14:textId="0421763B" w:rsidR="00C11BE6" w:rsidRDefault="009C6F94">
      <w:pPr>
        <w:spacing w:after="200" w:line="240" w:lineRule="auto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tel. 18</w:t>
      </w:r>
      <w:r w:rsidR="00106BBB">
        <w:rPr>
          <w:rFonts w:ascii="Tahoma" w:hAnsi="Tahoma"/>
          <w:color w:val="000000"/>
        </w:rPr>
        <w:t> 54</w:t>
      </w:r>
      <w:r w:rsidR="00AD1871">
        <w:rPr>
          <w:rFonts w:ascii="Tahoma" w:hAnsi="Tahoma"/>
          <w:color w:val="000000"/>
        </w:rPr>
        <w:t>8</w:t>
      </w:r>
      <w:r w:rsidR="00106BBB">
        <w:rPr>
          <w:rFonts w:ascii="Tahoma" w:hAnsi="Tahoma"/>
          <w:color w:val="000000"/>
        </w:rPr>
        <w:t>-02-10</w:t>
      </w:r>
      <w:r>
        <w:rPr>
          <w:rFonts w:ascii="Tahoma" w:hAnsi="Tahoma"/>
          <w:color w:val="000000"/>
        </w:rPr>
        <w:t>, fax 18</w:t>
      </w:r>
      <w:r w:rsidR="00106BBB">
        <w:rPr>
          <w:rFonts w:ascii="Tahoma" w:hAnsi="Tahoma"/>
          <w:color w:val="000000"/>
        </w:rPr>
        <w:t> 548-02-53</w:t>
      </w:r>
    </w:p>
    <w:p w14:paraId="7BF90AF2" w14:textId="4F8FEE62" w:rsidR="00C11BE6" w:rsidRDefault="00A74636">
      <w:pPr>
        <w:spacing w:after="200" w:line="240" w:lineRule="auto"/>
        <w:contextualSpacing/>
      </w:pPr>
      <w:hyperlink r:id="rId7" w:history="1">
        <w:r w:rsidR="0017524F" w:rsidRPr="006559B1">
          <w:rPr>
            <w:rStyle w:val="Hipercze"/>
            <w:rFonts w:ascii="Tahoma" w:hAnsi="Tahoma"/>
          </w:rPr>
          <w:t>gmina@chelmiec.pl</w:t>
        </w:r>
      </w:hyperlink>
    </w:p>
    <w:p w14:paraId="1C25F1CF" w14:textId="77777777" w:rsidR="00C11BE6" w:rsidRDefault="00C11BE6">
      <w:pPr>
        <w:spacing w:after="200" w:line="240" w:lineRule="auto"/>
        <w:contextualSpacing/>
        <w:rPr>
          <w:rFonts w:ascii="Tahoma" w:hAnsi="Tahoma"/>
          <w:color w:val="000000"/>
        </w:rPr>
      </w:pPr>
    </w:p>
    <w:p w14:paraId="76BA4A78" w14:textId="77777777" w:rsidR="00C11BE6" w:rsidRDefault="009C6F94">
      <w:pPr>
        <w:spacing w:after="200" w:line="240" w:lineRule="auto"/>
        <w:contextualSpacing/>
        <w:rPr>
          <w:rFonts w:ascii="Tahoma" w:eastAsia="Times New Roman" w:hAnsi="Tahoma"/>
          <w:b/>
          <w:bCs/>
          <w:color w:val="000000"/>
        </w:rPr>
      </w:pPr>
      <w:r>
        <w:rPr>
          <w:rFonts w:ascii="Tahoma" w:eastAsia="Times New Roman" w:hAnsi="Tahoma"/>
          <w:b/>
          <w:bCs/>
          <w:color w:val="000000"/>
        </w:rPr>
        <w:t>II TRYB ZAMÓWIENIA</w:t>
      </w:r>
    </w:p>
    <w:p w14:paraId="63C7C73E" w14:textId="77777777" w:rsidR="00C11BE6" w:rsidRDefault="009C6F94">
      <w:pPr>
        <w:numPr>
          <w:ilvl w:val="0"/>
          <w:numId w:val="16"/>
        </w:numPr>
        <w:spacing w:after="200" w:line="240" w:lineRule="auto"/>
        <w:contextualSpacing/>
        <w:rPr>
          <w:rFonts w:ascii="Tahoma" w:eastAsia="Times New Roman" w:hAnsi="Tahoma"/>
          <w:color w:val="1B1B1B"/>
          <w:lang w:eastAsia="pl-PL"/>
        </w:rPr>
      </w:pPr>
      <w:r>
        <w:rPr>
          <w:rFonts w:ascii="Tahoma" w:eastAsia="Times New Roman" w:hAnsi="Tahoma"/>
          <w:color w:val="1B1B1B"/>
          <w:lang w:eastAsia="pl-PL"/>
        </w:rPr>
        <w:t>Postępowanie prowadzone w trybie zapytania ofertowego,  którego wartość nie przekracza 130 000 złotych netto.</w:t>
      </w:r>
    </w:p>
    <w:p w14:paraId="0AF08CB3" w14:textId="77777777" w:rsidR="00C11BE6" w:rsidRDefault="00C11BE6">
      <w:pPr>
        <w:spacing w:after="200" w:line="240" w:lineRule="auto"/>
        <w:contextualSpacing/>
        <w:jc w:val="both"/>
        <w:rPr>
          <w:rFonts w:ascii="Tahoma" w:eastAsia="Times New Roman" w:hAnsi="Tahoma"/>
          <w:b/>
          <w:bCs/>
          <w:color w:val="1B1B1B"/>
          <w:lang w:eastAsia="pl-PL"/>
        </w:rPr>
      </w:pPr>
    </w:p>
    <w:p w14:paraId="49527756" w14:textId="77777777" w:rsidR="00C11BE6" w:rsidRDefault="009C6F94">
      <w:pPr>
        <w:spacing w:after="200" w:line="240" w:lineRule="auto"/>
        <w:contextualSpacing/>
        <w:jc w:val="both"/>
        <w:rPr>
          <w:rFonts w:ascii="Tahoma" w:eastAsia="Times New Roman" w:hAnsi="Tahoma"/>
          <w:b/>
          <w:bCs/>
          <w:color w:val="1B1B1B"/>
          <w:lang w:eastAsia="pl-PL"/>
        </w:rPr>
      </w:pPr>
      <w:r>
        <w:rPr>
          <w:rFonts w:ascii="Tahoma" w:eastAsia="Times New Roman" w:hAnsi="Tahoma"/>
          <w:b/>
          <w:bCs/>
          <w:color w:val="1B1B1B"/>
          <w:lang w:eastAsia="pl-PL"/>
        </w:rPr>
        <w:t>III OPIS PRZEDMIOTU ZAMÓWIENIA</w:t>
      </w:r>
    </w:p>
    <w:p w14:paraId="7BB8F393" w14:textId="77777777" w:rsidR="00C11BE6" w:rsidRDefault="00C11BE6">
      <w:pPr>
        <w:spacing w:after="200" w:line="240" w:lineRule="auto"/>
        <w:contextualSpacing/>
        <w:jc w:val="both"/>
        <w:rPr>
          <w:rFonts w:ascii="Tahoma" w:eastAsia="Times New Roman" w:hAnsi="Tahoma"/>
          <w:b/>
          <w:bCs/>
          <w:color w:val="1B1B1B"/>
          <w:lang w:eastAsia="pl-PL"/>
        </w:rPr>
      </w:pPr>
    </w:p>
    <w:p w14:paraId="01653B0D" w14:textId="77777777" w:rsidR="00C11BE6" w:rsidRDefault="009C6F94">
      <w:pPr>
        <w:spacing w:after="200" w:line="240" w:lineRule="auto"/>
        <w:contextualSpacing/>
        <w:jc w:val="both"/>
      </w:pPr>
      <w:r>
        <w:rPr>
          <w:rFonts w:ascii="Tahoma" w:eastAsia="Times New Roman" w:hAnsi="Tahoma"/>
          <w:color w:val="1B1B1B"/>
          <w:lang w:eastAsia="pl-PL"/>
        </w:rPr>
        <w:t xml:space="preserve">1. </w:t>
      </w:r>
      <w:r>
        <w:rPr>
          <w:rFonts w:ascii="Tahoma" w:eastAsia="Times New Roman" w:hAnsi="Tahoma" w:cs="Times New Roman"/>
          <w:lang w:eastAsia="pl-PL"/>
        </w:rPr>
        <w:t>Przedmiotem zamówienia jest:</w:t>
      </w:r>
    </w:p>
    <w:p w14:paraId="239723E3" w14:textId="77777777" w:rsidR="00C11BE6" w:rsidRDefault="009C6F94">
      <w:pPr>
        <w:spacing w:before="150" w:after="150" w:line="240" w:lineRule="auto"/>
        <w:jc w:val="both"/>
        <w:rPr>
          <w:rFonts w:ascii="Tahoma" w:eastAsia="Times New Roman" w:hAnsi="Tahoma" w:cs="Times New Roman"/>
          <w:lang w:eastAsia="pl-PL"/>
        </w:rPr>
      </w:pPr>
      <w:r>
        <w:rPr>
          <w:rFonts w:ascii="Tahoma" w:eastAsia="Times New Roman" w:hAnsi="Tahoma" w:cs="Times New Roman"/>
          <w:lang w:eastAsia="pl-PL"/>
        </w:rPr>
        <w:t>1.1 określenie istniejącego poziomu dostępności budynku, otoczenia zewnętrznego;</w:t>
      </w:r>
    </w:p>
    <w:p w14:paraId="78487DD9" w14:textId="77777777" w:rsidR="00C11BE6" w:rsidRDefault="009C6F94">
      <w:pPr>
        <w:spacing w:before="150" w:after="150" w:line="240" w:lineRule="auto"/>
        <w:jc w:val="both"/>
      </w:pPr>
      <w:r>
        <w:rPr>
          <w:rFonts w:ascii="Tahoma" w:eastAsia="Times New Roman" w:hAnsi="Tahoma" w:cs="Times New Roman"/>
          <w:lang w:eastAsia="pl-PL"/>
        </w:rPr>
        <w:t>1.2 określenie istniejącego poziomu dostępności informacyjno-komunikacyjnej</w:t>
      </w:r>
    </w:p>
    <w:p w14:paraId="1010F6FE" w14:textId="77777777" w:rsidR="00C11BE6" w:rsidRDefault="009C6F94">
      <w:pPr>
        <w:spacing w:before="150" w:after="150" w:line="240" w:lineRule="auto"/>
        <w:jc w:val="both"/>
      </w:pPr>
      <w:r>
        <w:rPr>
          <w:rFonts w:ascii="Tahoma" w:eastAsia="Times New Roman" w:hAnsi="Tahoma" w:cs="Times New Roman"/>
          <w:lang w:eastAsia="pl-PL"/>
        </w:rPr>
        <w:t xml:space="preserve">2. Określenie rekomendacji racjonalnych działań / usprawnień wpływających na poprawę użyteczności budynku przez osoby ze szczególnymi potrzebami w myśl </w:t>
      </w:r>
      <w:r>
        <w:rPr>
          <w:rFonts w:ascii="Tahoma" w:hAnsi="Tahoma" w:cs="Times New Roman"/>
          <w:bCs/>
          <w:highlight w:val="white"/>
        </w:rPr>
        <w:t>Ustawy z dnia 19 lipca 2019 r. o zapewnianiu dostępności osobom ze szczególnymi potrzebami (</w:t>
      </w:r>
      <w:r>
        <w:rPr>
          <w:rFonts w:ascii="Tahoma" w:hAnsi="Tahoma" w:cs="Times New Roman"/>
        </w:rPr>
        <w:t>tekst jednolity:</w:t>
      </w:r>
      <w:r>
        <w:rPr>
          <w:rFonts w:ascii="Tahoma" w:hAnsi="Tahoma" w:cs="Times New Roman"/>
          <w:bCs/>
          <w:highlight w:val="white"/>
        </w:rPr>
        <w:t xml:space="preserve"> Dz.U. 2020 poz.</w:t>
      </w:r>
      <w:r>
        <w:rPr>
          <w:rFonts w:ascii="Tahoma" w:hAnsi="Tahoma" w:cs="Times New Roman"/>
          <w:color w:val="1B1B1B"/>
        </w:rPr>
        <w:t xml:space="preserve"> </w:t>
      </w:r>
      <w:r>
        <w:rPr>
          <w:rStyle w:val="ng-binding"/>
          <w:rFonts w:ascii="Tahoma" w:hAnsi="Tahoma" w:cs="Times New Roman"/>
          <w:color w:val="1B1B1B"/>
        </w:rPr>
        <w:t>1062</w:t>
      </w:r>
      <w:r>
        <w:rPr>
          <w:rFonts w:ascii="Tahoma" w:hAnsi="Tahoma" w:cs="Times New Roman"/>
          <w:bCs/>
          <w:highlight w:val="white"/>
        </w:rPr>
        <w:t>)</w:t>
      </w:r>
      <w:r>
        <w:rPr>
          <w:rFonts w:ascii="Tahoma" w:eastAsia="Times New Roman" w:hAnsi="Tahoma" w:cs="Times New Roman"/>
          <w:lang w:eastAsia="pl-PL"/>
        </w:rPr>
        <w:t>. Działania te mogą odnosić się zarówno do likwidacji fizycznych barier, jak poprawy sposobu zarządzania budynkiem w danej placówce;</w:t>
      </w:r>
    </w:p>
    <w:p w14:paraId="75E02199" w14:textId="77777777" w:rsidR="00C11BE6" w:rsidRDefault="009C6F94">
      <w:pPr>
        <w:spacing w:before="150" w:after="150" w:line="240" w:lineRule="auto"/>
        <w:jc w:val="both"/>
      </w:pPr>
      <w:r>
        <w:rPr>
          <w:rFonts w:ascii="Tahoma" w:eastAsia="Times New Roman" w:hAnsi="Tahoma" w:cs="Times New Roman"/>
          <w:lang w:eastAsia="pl-PL"/>
        </w:rPr>
        <w:t>3. Kod CPV 71317210-8 - Usługi doradcze w zakresie zdrowia i bezpieczeństwa</w:t>
      </w:r>
    </w:p>
    <w:p w14:paraId="3275D4AF" w14:textId="77777777" w:rsidR="00C11BE6" w:rsidRDefault="009C6F94">
      <w:pPr>
        <w:spacing w:before="150" w:after="150" w:line="240" w:lineRule="auto"/>
        <w:jc w:val="both"/>
        <w:rPr>
          <w:rFonts w:ascii="Tahoma" w:hAnsi="Tahoma"/>
        </w:rPr>
      </w:pPr>
      <w:r>
        <w:rPr>
          <w:rFonts w:ascii="Tahoma" w:eastAsia="Times New Roman" w:hAnsi="Tahoma" w:cs="Times New Roman"/>
          <w:lang w:eastAsia="pl-PL"/>
        </w:rPr>
        <w:t>4. Rekomendacje zmian, o których mowa rozumiane są jako:</w:t>
      </w:r>
    </w:p>
    <w:p w14:paraId="6D6CF8D7" w14:textId="77777777" w:rsidR="00C11BE6" w:rsidRDefault="009C6F94">
      <w:pPr>
        <w:spacing w:before="150" w:after="150" w:line="240" w:lineRule="auto"/>
        <w:jc w:val="both"/>
        <w:rPr>
          <w:rFonts w:ascii="Tahoma" w:hAnsi="Tahoma"/>
        </w:rPr>
      </w:pPr>
      <w:r>
        <w:rPr>
          <w:rFonts w:ascii="Tahoma" w:eastAsia="Times New Roman" w:hAnsi="Tahoma" w:cs="Times New Roman"/>
          <w:lang w:eastAsia="pl-PL"/>
        </w:rPr>
        <w:t>4.1. znacznie poprawiające dostępność czyli dostęp wraz z możliwością użytkowania przez osoby ze szczególnymi potrzebami do wszystkich podstawowych funkcji obiektu i jego otoczenia na równi ze wszystkimi, zgodnie z definicją „projektowania uniwersalnego” oraz treścią dokumentów określonych w pkt. 2</w:t>
      </w:r>
    </w:p>
    <w:p w14:paraId="089343F3" w14:textId="77777777" w:rsidR="00C11BE6" w:rsidRDefault="009C6F94">
      <w:pPr>
        <w:spacing w:before="150" w:after="150" w:line="240" w:lineRule="auto"/>
        <w:jc w:val="both"/>
        <w:rPr>
          <w:rFonts w:ascii="Tahoma" w:eastAsia="Times New Roman" w:hAnsi="Tahoma" w:cs="Times New Roman"/>
          <w:lang w:eastAsia="pl-PL"/>
        </w:rPr>
      </w:pPr>
      <w:r>
        <w:rPr>
          <w:rFonts w:ascii="Tahoma" w:eastAsia="Times New Roman" w:hAnsi="Tahoma" w:cs="Times New Roman"/>
          <w:lang w:eastAsia="pl-PL"/>
        </w:rPr>
        <w:t>lub</w:t>
      </w:r>
    </w:p>
    <w:p w14:paraId="14A26DDD" w14:textId="77777777" w:rsidR="00C11BE6" w:rsidRDefault="009C6F94">
      <w:pPr>
        <w:spacing w:before="150" w:after="150" w:line="240" w:lineRule="auto"/>
        <w:jc w:val="both"/>
        <w:rPr>
          <w:rFonts w:ascii="Tahoma" w:hAnsi="Tahoma"/>
        </w:rPr>
      </w:pPr>
      <w:r>
        <w:rPr>
          <w:rFonts w:ascii="Tahoma" w:eastAsia="Times New Roman" w:hAnsi="Tahoma" w:cs="Times New Roman"/>
          <w:lang w:eastAsia="pl-PL"/>
        </w:rPr>
        <w:t>4.2.wymagają natychmiastowego wprowadzenia, gdyż na przykład dotyczą sytuacji, w której istnieje zagrożenie dla zdrowia i bezpieczeństwa użytkowników budynku</w:t>
      </w:r>
    </w:p>
    <w:p w14:paraId="365D6DAF" w14:textId="77777777" w:rsidR="00C11BE6" w:rsidRDefault="00C11BE6">
      <w:pPr>
        <w:spacing w:before="150" w:after="150" w:line="240" w:lineRule="auto"/>
        <w:jc w:val="both"/>
        <w:rPr>
          <w:rFonts w:ascii="Tahoma" w:eastAsia="Times New Roman" w:hAnsi="Tahoma" w:cs="Times New Roman"/>
          <w:lang w:eastAsia="pl-PL"/>
        </w:rPr>
      </w:pPr>
    </w:p>
    <w:p w14:paraId="3945A778" w14:textId="77777777" w:rsidR="00C11BE6" w:rsidRDefault="009C6F94">
      <w:pPr>
        <w:spacing w:before="150" w:after="150" w:line="240" w:lineRule="auto"/>
        <w:jc w:val="both"/>
        <w:rPr>
          <w:rFonts w:ascii="Tahoma" w:hAnsi="Tahoma"/>
        </w:rPr>
      </w:pPr>
      <w:r>
        <w:rPr>
          <w:rFonts w:ascii="Tahoma" w:eastAsia="Times New Roman" w:hAnsi="Tahoma" w:cs="Times New Roman"/>
          <w:b/>
          <w:bCs/>
          <w:lang w:eastAsia="pl-PL"/>
        </w:rPr>
        <w:lastRenderedPageBreak/>
        <w:t>IV WARUNKI REALIZACJI ZAMÓWIENIA</w:t>
      </w:r>
    </w:p>
    <w:p w14:paraId="403678B7" w14:textId="5E6DE591" w:rsidR="00C11BE6" w:rsidRDefault="009C6F94">
      <w:pPr>
        <w:spacing w:line="240" w:lineRule="auto"/>
        <w:jc w:val="both"/>
        <w:rPr>
          <w:rFonts w:ascii="Tahoma" w:hAnsi="Tahoma"/>
          <w:lang w:eastAsia="pl-PL"/>
        </w:rPr>
      </w:pPr>
      <w:r>
        <w:rPr>
          <w:rFonts w:ascii="Tahoma" w:hAnsi="Tahoma"/>
          <w:lang w:eastAsia="pl-PL"/>
        </w:rPr>
        <w:t>Przedmiot zamówienia będzie  realizowany po dokonaniu wizji na terenie obiektu wraz z otoczeniem zewnętrznym lub na podstawie dokumentacji projektowej</w:t>
      </w:r>
    </w:p>
    <w:p w14:paraId="04C1E152" w14:textId="77777777" w:rsidR="00C11BE6" w:rsidRDefault="009C6F94">
      <w:pPr>
        <w:rPr>
          <w:rFonts w:ascii="Tahoma" w:hAnsi="Tahoma"/>
        </w:rPr>
      </w:pPr>
      <w:r>
        <w:rPr>
          <w:rFonts w:ascii="Tahoma" w:hAnsi="Tahoma"/>
        </w:rPr>
        <w:t>Częściami składowymi przedmiotu zamówienia są:</w:t>
      </w:r>
    </w:p>
    <w:p w14:paraId="1CEDBC4A" w14:textId="77777777" w:rsidR="00C11BE6" w:rsidRDefault="009C6F94">
      <w:pPr>
        <w:spacing w:line="240" w:lineRule="auto"/>
        <w:rPr>
          <w:rFonts w:ascii="Tahoma" w:hAnsi="Tahoma"/>
          <w:lang w:eastAsia="pl-PL"/>
        </w:rPr>
      </w:pPr>
      <w:r>
        <w:rPr>
          <w:rFonts w:ascii="Tahoma" w:hAnsi="Tahoma"/>
          <w:lang w:eastAsia="pl-PL"/>
        </w:rPr>
        <w:t xml:space="preserve">a) wizyta terenowa obiektu, otoczenia zewnętrznego. </w:t>
      </w:r>
    </w:p>
    <w:p w14:paraId="675D30E2" w14:textId="77777777" w:rsidR="00C11BE6" w:rsidRDefault="009C6F94">
      <w:pPr>
        <w:spacing w:line="240" w:lineRule="auto"/>
        <w:rPr>
          <w:rFonts w:ascii="Tahoma" w:hAnsi="Tahoma"/>
          <w:lang w:eastAsia="pl-PL"/>
        </w:rPr>
      </w:pPr>
      <w:r>
        <w:rPr>
          <w:rFonts w:ascii="Tahoma" w:hAnsi="Tahoma"/>
          <w:lang w:eastAsia="pl-PL"/>
        </w:rPr>
        <w:t>b) audyt dostępności w formie raportu pisemnego wraz z rekomendacjami. Działania te mogą odnosić się zarówno do likwidacji fizycznych barier, jak do poprawy sposobu zarządzania budynkiem w danej placówce.</w:t>
      </w:r>
    </w:p>
    <w:p w14:paraId="7D292B4F" w14:textId="77777777" w:rsidR="00C11BE6" w:rsidRDefault="00C11BE6">
      <w:pPr>
        <w:spacing w:before="150" w:after="150" w:line="240" w:lineRule="auto"/>
        <w:jc w:val="both"/>
        <w:rPr>
          <w:rFonts w:ascii="Tahoma" w:eastAsia="Times New Roman" w:hAnsi="Tahoma" w:cs="Times New Roman"/>
          <w:lang w:eastAsia="pl-PL"/>
        </w:rPr>
      </w:pPr>
    </w:p>
    <w:p w14:paraId="2F6F7468" w14:textId="77777777" w:rsidR="00C11BE6" w:rsidRDefault="009C6F94">
      <w:pPr>
        <w:spacing w:before="150" w:after="150" w:line="240" w:lineRule="auto"/>
        <w:jc w:val="both"/>
        <w:rPr>
          <w:rFonts w:ascii="Tahoma" w:eastAsia="Times New Roman" w:hAnsi="Tahoma" w:cs="Times New Roman"/>
          <w:b/>
          <w:lang w:eastAsia="pl-PL"/>
        </w:rPr>
      </w:pPr>
      <w:r>
        <w:rPr>
          <w:rFonts w:ascii="Tahoma" w:eastAsia="Times New Roman" w:hAnsi="Tahoma" w:cs="Times New Roman"/>
          <w:b/>
          <w:lang w:eastAsia="pl-PL"/>
        </w:rPr>
        <w:t>1. Audyt dostępności obiektu należy wykonać w oparciu o:</w:t>
      </w:r>
    </w:p>
    <w:p w14:paraId="61D17340" w14:textId="77777777" w:rsidR="00C11BE6" w:rsidRDefault="009C6F94">
      <w:pPr>
        <w:spacing w:before="150" w:after="150" w:line="240" w:lineRule="auto"/>
      </w:pPr>
      <w:r>
        <w:rPr>
          <w:rFonts w:ascii="Tahoma" w:eastAsia="Times New Roman" w:hAnsi="Tahoma" w:cs="Times New Roman"/>
          <w:lang w:eastAsia="pl-PL"/>
        </w:rPr>
        <w:t xml:space="preserve">a) posiadane doświadczenie                                                                                              b) </w:t>
      </w:r>
      <w:r>
        <w:rPr>
          <w:rFonts w:ascii="Tahoma" w:hAnsi="Tahoma" w:cs="Times New Roman"/>
          <w:bCs/>
          <w:highlight w:val="white"/>
        </w:rPr>
        <w:t>Ustawę z dnia 19 lipca 2019 r. o zapewnianiu dostępności osobom ze szczególnymi potrzebami (</w:t>
      </w:r>
      <w:r>
        <w:rPr>
          <w:rFonts w:ascii="Tahoma" w:hAnsi="Tahoma" w:cs="Times New Roman"/>
        </w:rPr>
        <w:t>tekst jednolity:</w:t>
      </w:r>
      <w:r>
        <w:rPr>
          <w:rFonts w:ascii="Tahoma" w:hAnsi="Tahoma" w:cs="Times New Roman"/>
          <w:bCs/>
          <w:highlight w:val="white"/>
        </w:rPr>
        <w:t xml:space="preserve"> Dz.U. z 2020 r. poz.</w:t>
      </w:r>
      <w:r>
        <w:rPr>
          <w:rFonts w:ascii="Tahoma" w:hAnsi="Tahoma" w:cs="Times New Roman"/>
          <w:color w:val="1B1B1B"/>
        </w:rPr>
        <w:t xml:space="preserve"> </w:t>
      </w:r>
      <w:r>
        <w:rPr>
          <w:rStyle w:val="ng-binding"/>
          <w:rFonts w:ascii="Tahoma" w:hAnsi="Tahoma" w:cs="Times New Roman"/>
          <w:color w:val="1B1B1B"/>
        </w:rPr>
        <w:t>1062</w:t>
      </w:r>
      <w:r>
        <w:rPr>
          <w:rFonts w:ascii="Tahoma" w:hAnsi="Tahoma" w:cs="Times New Roman"/>
          <w:bCs/>
          <w:highlight w:val="white"/>
        </w:rPr>
        <w:t xml:space="preserve">)                                                                 </w:t>
      </w:r>
      <w:r>
        <w:rPr>
          <w:rFonts w:ascii="Tahoma" w:eastAsia="Times New Roman" w:hAnsi="Tahoma" w:cs="Times New Roman"/>
          <w:lang w:eastAsia="pl-PL"/>
        </w:rPr>
        <w:t xml:space="preserve">c) Ustawę Prawo Budowlane oraz rozporządzenia wykonawcze                                                             </w:t>
      </w:r>
    </w:p>
    <w:p w14:paraId="3B3F444E" w14:textId="77777777" w:rsidR="00C11BE6" w:rsidRDefault="00C11BE6">
      <w:pPr>
        <w:spacing w:before="150" w:after="150" w:line="240" w:lineRule="auto"/>
        <w:jc w:val="both"/>
        <w:rPr>
          <w:rFonts w:ascii="Tahoma" w:eastAsia="Times New Roman" w:hAnsi="Tahoma" w:cs="Times New Roman"/>
          <w:b/>
          <w:lang w:eastAsia="pl-PL"/>
        </w:rPr>
      </w:pPr>
    </w:p>
    <w:p w14:paraId="052C26F3" w14:textId="77777777" w:rsidR="00C11BE6" w:rsidRDefault="009C6F94">
      <w:pPr>
        <w:spacing w:before="150" w:after="150" w:line="240" w:lineRule="auto"/>
        <w:jc w:val="both"/>
        <w:rPr>
          <w:rFonts w:ascii="Tahoma" w:eastAsia="Times New Roman" w:hAnsi="Tahoma" w:cs="Times New Roman"/>
          <w:b/>
          <w:lang w:eastAsia="pl-PL"/>
        </w:rPr>
      </w:pPr>
      <w:r>
        <w:rPr>
          <w:rFonts w:ascii="Tahoma" w:eastAsia="Times New Roman" w:hAnsi="Tahoma" w:cs="Times New Roman"/>
          <w:b/>
          <w:lang w:eastAsia="pl-PL"/>
        </w:rPr>
        <w:t>2. Zakres opracowania</w:t>
      </w:r>
    </w:p>
    <w:p w14:paraId="09DEFE1D" w14:textId="77777777" w:rsidR="00C11BE6" w:rsidRDefault="009C6F94">
      <w:pPr>
        <w:pStyle w:val="Tekstpodstawowy"/>
        <w:spacing w:before="150" w:after="150" w:line="240" w:lineRule="auto"/>
      </w:pPr>
      <w:r>
        <w:rPr>
          <w:rFonts w:ascii="Tahoma" w:eastAsia="Times New Roman" w:hAnsi="Tahoma" w:cs="Times New Roman"/>
          <w:lang w:eastAsia="pl-PL"/>
        </w:rPr>
        <w:t xml:space="preserve">2.1. Opracowanie audytu dostępności budynku lub projektu powinno zawierać dokumentację fotograficzną wraz z następującymi elementami: </w:t>
      </w:r>
    </w:p>
    <w:p w14:paraId="4AC75D1A" w14:textId="77777777" w:rsidR="00C11BE6" w:rsidRDefault="009C6F94">
      <w:pPr>
        <w:pStyle w:val="Tekstpodstawowy"/>
        <w:spacing w:before="150" w:after="150" w:line="240" w:lineRule="auto"/>
        <w:ind w:left="680"/>
      </w:pPr>
      <w:r>
        <w:rPr>
          <w:rFonts w:ascii="Tahoma" w:eastAsia="Times New Roman" w:hAnsi="Tahoma" w:cs="Times New Roman"/>
          <w:lang w:eastAsia="pl-PL"/>
        </w:rPr>
        <w:t xml:space="preserve">a) </w:t>
      </w:r>
      <w:r>
        <w:rPr>
          <w:rFonts w:ascii="Tahoma" w:hAnsi="Tahoma"/>
        </w:rPr>
        <w:t>uproszczony plan sytuacyjny wraz z przyległym terenem;</w:t>
      </w:r>
      <w:r>
        <w:rPr>
          <w:rFonts w:ascii="Tahoma" w:hAnsi="Tahoma"/>
        </w:rPr>
        <w:br/>
        <w:t>b) opis wyników oceny dostępności zgodnie z metodologią określoną we Wzorcowym Opisie Dostępności i w oparciu o przeprowadzone przez Wykonawcę wizyty terenowe;</w:t>
      </w:r>
      <w:r>
        <w:rPr>
          <w:rFonts w:ascii="Tahoma" w:hAnsi="Tahoma"/>
        </w:rPr>
        <w:br/>
        <w:t>c) rekomendacje poprawiające dostępność.</w:t>
      </w:r>
    </w:p>
    <w:p w14:paraId="5D4B7B9F" w14:textId="77777777" w:rsidR="00C11BE6" w:rsidRDefault="009C6F94">
      <w:pPr>
        <w:spacing w:before="150" w:after="150" w:line="240" w:lineRule="auto"/>
        <w:rPr>
          <w:rFonts w:ascii="Tahoma" w:hAnsi="Tahoma"/>
        </w:rPr>
      </w:pPr>
      <w:r>
        <w:rPr>
          <w:rFonts w:ascii="Tahoma" w:eastAsia="Times New Roman" w:hAnsi="Tahoma" w:cs="Times New Roman"/>
          <w:lang w:eastAsia="pl-PL"/>
        </w:rPr>
        <w:t xml:space="preserve">2.2. Dla obiektu należy przeprowadzić ocenę poniżej wymienionych obszarów pod kątem dostępności i opisać następujące elementy jeżeli dotyczą: </w:t>
      </w:r>
    </w:p>
    <w:p w14:paraId="33D2600C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714" w:hanging="357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t>Otoczenia zewnętrznego rozumianego jako:</w:t>
      </w:r>
    </w:p>
    <w:p w14:paraId="28BB8BAB" w14:textId="77777777" w:rsidR="00C11BE6" w:rsidRDefault="009C6F94">
      <w:pPr>
        <w:pStyle w:val="NormalnyWeb"/>
        <w:numPr>
          <w:ilvl w:val="0"/>
          <w:numId w:val="18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trasę dojścia do budynku,</w:t>
      </w:r>
    </w:p>
    <w:p w14:paraId="3DE9FAC2" w14:textId="77777777" w:rsidR="00C11BE6" w:rsidRDefault="009C6F94">
      <w:pPr>
        <w:pStyle w:val="NormalnyWeb"/>
        <w:numPr>
          <w:ilvl w:val="0"/>
          <w:numId w:val="18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wyposażenie na trasie dojścia,</w:t>
      </w:r>
    </w:p>
    <w:p w14:paraId="5445C3EF" w14:textId="77777777" w:rsidR="00C11BE6" w:rsidRDefault="009C6F94">
      <w:pPr>
        <w:pStyle w:val="NormalnyWeb"/>
        <w:numPr>
          <w:ilvl w:val="0"/>
          <w:numId w:val="18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oznaczenia, tablice informacyjne,</w:t>
      </w:r>
    </w:p>
    <w:p w14:paraId="137A9167" w14:textId="77777777" w:rsidR="00C11BE6" w:rsidRDefault="009C6F94">
      <w:pPr>
        <w:pStyle w:val="NormalnyWeb"/>
        <w:numPr>
          <w:ilvl w:val="0"/>
          <w:numId w:val="18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oświetlenie.</w:t>
      </w:r>
    </w:p>
    <w:p w14:paraId="6028CD45" w14:textId="77777777" w:rsidR="00C11BE6" w:rsidRDefault="00C11BE6">
      <w:pPr>
        <w:pStyle w:val="NormalnyWeb"/>
        <w:spacing w:before="0" w:after="0"/>
        <w:ind w:left="1434"/>
        <w:jc w:val="both"/>
        <w:rPr>
          <w:rFonts w:ascii="Tahoma" w:hAnsi="Tahoma" w:cs="Calibri"/>
          <w:sz w:val="22"/>
          <w:szCs w:val="22"/>
        </w:rPr>
      </w:pPr>
    </w:p>
    <w:p w14:paraId="1857BA64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714" w:hanging="357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t>Parkingu dla osoby z niepełnosprawnościami rozumianego jako:</w:t>
      </w:r>
    </w:p>
    <w:p w14:paraId="78965E80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typ parkingu,</w:t>
      </w:r>
    </w:p>
    <w:p w14:paraId="3BB43BFA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parametry miejsca parkingowego,</w:t>
      </w:r>
    </w:p>
    <w:p w14:paraId="0C6DB9D2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odległość miejsca parkingowego dla osób z niepełnosprawnościami od wejścia,</w:t>
      </w:r>
    </w:p>
    <w:p w14:paraId="687E5227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przestrzeń manewrową na ciągu pieszym,</w:t>
      </w:r>
    </w:p>
    <w:p w14:paraId="51228A18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usprawnienia / dostępność pod kątem niepełnosprawności ruchowej, wzrokowej, słuchowej,</w:t>
      </w:r>
    </w:p>
    <w:p w14:paraId="35189216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zastosowane materiały wykończeniowe,</w:t>
      </w:r>
    </w:p>
    <w:p w14:paraId="0AA927E4" w14:textId="77777777" w:rsidR="00C11BE6" w:rsidRDefault="009C6F94">
      <w:pPr>
        <w:pStyle w:val="NormalnyWeb"/>
        <w:numPr>
          <w:ilvl w:val="0"/>
          <w:numId w:val="19"/>
        </w:numPr>
        <w:tabs>
          <w:tab w:val="clear" w:pos="720"/>
          <w:tab w:val="left" w:pos="851"/>
        </w:tabs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oznakowanie miejsca postojowego,</w:t>
      </w:r>
    </w:p>
    <w:p w14:paraId="166C1DC3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oświetlenie,</w:t>
      </w:r>
    </w:p>
    <w:p w14:paraId="4CBE83B4" w14:textId="77777777" w:rsidR="00C11BE6" w:rsidRDefault="009C6F94">
      <w:pPr>
        <w:pStyle w:val="NormalnyWeb"/>
        <w:numPr>
          <w:ilvl w:val="0"/>
          <w:numId w:val="19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sygnalizację do przywołania pomocy.</w:t>
      </w:r>
    </w:p>
    <w:p w14:paraId="43CF5D44" w14:textId="77777777" w:rsidR="00C11BE6" w:rsidRDefault="00C11BE6">
      <w:pPr>
        <w:pStyle w:val="NormalnyWeb"/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</w:p>
    <w:p w14:paraId="0539E17C" w14:textId="77777777" w:rsidR="00C11BE6" w:rsidRDefault="00C11BE6">
      <w:pPr>
        <w:pStyle w:val="NormalnyWeb"/>
        <w:spacing w:before="0" w:after="0"/>
        <w:ind w:left="714"/>
        <w:jc w:val="both"/>
        <w:rPr>
          <w:rFonts w:ascii="Tahoma" w:hAnsi="Tahoma" w:cs="Calibri"/>
          <w:sz w:val="22"/>
          <w:szCs w:val="22"/>
        </w:rPr>
      </w:pPr>
    </w:p>
    <w:p w14:paraId="188BF51E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714" w:hanging="357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lastRenderedPageBreak/>
        <w:t>Wejścia do budynku rozumiane jako:</w:t>
      </w:r>
    </w:p>
    <w:p w14:paraId="4C4733AC" w14:textId="77777777" w:rsidR="00C11BE6" w:rsidRDefault="009C6F94">
      <w:pPr>
        <w:pStyle w:val="NormalnyWeb"/>
        <w:numPr>
          <w:ilvl w:val="0"/>
          <w:numId w:val="20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dojście do budynku,</w:t>
      </w:r>
    </w:p>
    <w:p w14:paraId="62963B07" w14:textId="77777777" w:rsidR="00C11BE6" w:rsidRDefault="009C6F94">
      <w:pPr>
        <w:pStyle w:val="NormalnyWeb"/>
        <w:numPr>
          <w:ilvl w:val="0"/>
          <w:numId w:val="20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wejścia do budynku,</w:t>
      </w:r>
    </w:p>
    <w:p w14:paraId="38636AD0" w14:textId="77777777" w:rsidR="00C11BE6" w:rsidRDefault="009C6F94">
      <w:pPr>
        <w:pStyle w:val="NormalnyWeb"/>
        <w:numPr>
          <w:ilvl w:val="0"/>
          <w:numId w:val="20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przedsionek, drzwi wejściowe i wewnętrzne,</w:t>
      </w:r>
    </w:p>
    <w:p w14:paraId="59057D49" w14:textId="77777777" w:rsidR="00C11BE6" w:rsidRDefault="009C6F94">
      <w:pPr>
        <w:pStyle w:val="NormalnyWeb"/>
        <w:numPr>
          <w:ilvl w:val="0"/>
          <w:numId w:val="20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oświetlenie,</w:t>
      </w:r>
    </w:p>
    <w:p w14:paraId="42A43D8D" w14:textId="77777777" w:rsidR="00C11BE6" w:rsidRDefault="009C6F94">
      <w:pPr>
        <w:pStyle w:val="NormalnyWeb"/>
        <w:numPr>
          <w:ilvl w:val="0"/>
          <w:numId w:val="20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sygnalizację do przywołania pomocy.</w:t>
      </w:r>
    </w:p>
    <w:p w14:paraId="31DA1082" w14:textId="77777777" w:rsidR="00C11BE6" w:rsidRDefault="00C11BE6">
      <w:pPr>
        <w:pStyle w:val="NormalnyWeb"/>
        <w:spacing w:before="0" w:after="0"/>
        <w:ind w:left="1434"/>
        <w:jc w:val="both"/>
        <w:rPr>
          <w:rFonts w:ascii="Tahoma" w:hAnsi="Tahoma" w:cs="Calibri"/>
          <w:sz w:val="22"/>
          <w:szCs w:val="22"/>
        </w:rPr>
      </w:pPr>
    </w:p>
    <w:p w14:paraId="15B80D3E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714" w:hanging="357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t>Komunikacji poziomej w budynku rozumianej jako:</w:t>
      </w:r>
    </w:p>
    <w:p w14:paraId="50E0B7F9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recepcji / punktu informacyjnego,</w:t>
      </w:r>
    </w:p>
    <w:p w14:paraId="57FEAAFD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przestrzenie ogólnodostępne i korytarze w budynku,</w:t>
      </w:r>
    </w:p>
    <w:p w14:paraId="5FF29C73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parametry przestrzeni manewrowej,</w:t>
      </w:r>
    </w:p>
    <w:p w14:paraId="7968E13C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zastosowane materiały wykończeniowe</w:t>
      </w:r>
    </w:p>
    <w:p w14:paraId="4795A57F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wyposażenie,</w:t>
      </w:r>
    </w:p>
    <w:p w14:paraId="52FAC5CA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oznaczenia / tablice informacyjne,</w:t>
      </w:r>
    </w:p>
    <w:p w14:paraId="7982A940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oświetlenie,</w:t>
      </w:r>
    </w:p>
    <w:p w14:paraId="24A3F868" w14:textId="77777777" w:rsidR="00C11BE6" w:rsidRDefault="009C6F94">
      <w:pPr>
        <w:pStyle w:val="NormalnyWeb"/>
        <w:numPr>
          <w:ilvl w:val="0"/>
          <w:numId w:val="21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sygnalizacja w budynku.</w:t>
      </w:r>
    </w:p>
    <w:p w14:paraId="417D86DF" w14:textId="77777777" w:rsidR="00C11BE6" w:rsidRDefault="00C11BE6">
      <w:pPr>
        <w:pStyle w:val="NormalnyWeb"/>
        <w:spacing w:before="0" w:after="0"/>
        <w:ind w:left="1434"/>
        <w:jc w:val="both"/>
        <w:rPr>
          <w:rFonts w:ascii="Tahoma" w:hAnsi="Tahoma" w:cs="Calibri"/>
          <w:sz w:val="22"/>
          <w:szCs w:val="22"/>
        </w:rPr>
      </w:pPr>
    </w:p>
    <w:p w14:paraId="07ABF1BB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714" w:hanging="357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t>Komunikacji pionowej w budynku rozumianej jako:</w:t>
      </w:r>
    </w:p>
    <w:p w14:paraId="6A6548CE" w14:textId="77777777" w:rsidR="00C11BE6" w:rsidRDefault="009C6F94">
      <w:pPr>
        <w:pStyle w:val="NormalnyWeb"/>
        <w:numPr>
          <w:ilvl w:val="0"/>
          <w:numId w:val="22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windy,</w:t>
      </w:r>
    </w:p>
    <w:p w14:paraId="4AA6F7AD" w14:textId="77777777" w:rsidR="00C11BE6" w:rsidRDefault="009C6F94">
      <w:pPr>
        <w:pStyle w:val="NormalnyWeb"/>
        <w:numPr>
          <w:ilvl w:val="0"/>
          <w:numId w:val="22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schody wewnętrzne,</w:t>
      </w:r>
    </w:p>
    <w:p w14:paraId="027896D2" w14:textId="77777777" w:rsidR="00C11BE6" w:rsidRDefault="009C6F94">
      <w:pPr>
        <w:pStyle w:val="NormalnyWeb"/>
        <w:numPr>
          <w:ilvl w:val="0"/>
          <w:numId w:val="22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parametry przestrzeni manewrowej,</w:t>
      </w:r>
    </w:p>
    <w:p w14:paraId="673EAA23" w14:textId="77777777" w:rsidR="00C11BE6" w:rsidRDefault="009C6F94">
      <w:pPr>
        <w:pStyle w:val="NormalnyWeb"/>
        <w:numPr>
          <w:ilvl w:val="0"/>
          <w:numId w:val="22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oznaczenia / tablice informacyjne,</w:t>
      </w:r>
    </w:p>
    <w:p w14:paraId="6A11F53A" w14:textId="77777777" w:rsidR="00C11BE6" w:rsidRDefault="009C6F94">
      <w:pPr>
        <w:pStyle w:val="NormalnyWeb"/>
        <w:numPr>
          <w:ilvl w:val="0"/>
          <w:numId w:val="22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oświetlenie.</w:t>
      </w:r>
    </w:p>
    <w:p w14:paraId="4DF9B438" w14:textId="77777777" w:rsidR="00C11BE6" w:rsidRDefault="00C11BE6">
      <w:pPr>
        <w:pStyle w:val="NormalnyWeb"/>
        <w:spacing w:before="0" w:after="0"/>
        <w:ind w:left="1434"/>
        <w:jc w:val="both"/>
        <w:rPr>
          <w:rFonts w:ascii="Tahoma" w:hAnsi="Tahoma" w:cs="Calibri"/>
          <w:sz w:val="22"/>
          <w:szCs w:val="22"/>
        </w:rPr>
      </w:pPr>
    </w:p>
    <w:p w14:paraId="7F83B5BC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714" w:hanging="357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t>Pomieszczeń sanitarnych, w tym toalet dla osób z niepełnosprawnościami  rozumianych jako:</w:t>
      </w:r>
    </w:p>
    <w:p w14:paraId="7ADFF4FD" w14:textId="77777777" w:rsidR="00C11BE6" w:rsidRDefault="009C6F94">
      <w:pPr>
        <w:pStyle w:val="NormalnyWeb"/>
        <w:numPr>
          <w:ilvl w:val="0"/>
          <w:numId w:val="23"/>
        </w:numPr>
        <w:spacing w:before="0" w:after="0"/>
        <w:ind w:left="998" w:hanging="284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dostępność toalet dla osób z niepełnosprawnościami,</w:t>
      </w:r>
    </w:p>
    <w:p w14:paraId="7CC68C50" w14:textId="77777777" w:rsidR="00C11BE6" w:rsidRDefault="009C6F94">
      <w:pPr>
        <w:pStyle w:val="NormalnyWeb"/>
        <w:numPr>
          <w:ilvl w:val="0"/>
          <w:numId w:val="23"/>
        </w:numPr>
        <w:spacing w:before="0" w:after="0"/>
        <w:ind w:left="998" w:hanging="284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drzwi do toalet dla osób z niepełnosprawnościami,</w:t>
      </w:r>
    </w:p>
    <w:p w14:paraId="6801C362" w14:textId="77777777" w:rsidR="00C11BE6" w:rsidRDefault="009C6F94">
      <w:pPr>
        <w:pStyle w:val="NormalnyWeb"/>
        <w:numPr>
          <w:ilvl w:val="0"/>
          <w:numId w:val="23"/>
        </w:numPr>
        <w:spacing w:before="0" w:after="0"/>
        <w:ind w:left="998" w:hanging="284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parametry przestrzeni manewrowej,</w:t>
      </w:r>
    </w:p>
    <w:p w14:paraId="26B17D37" w14:textId="77777777" w:rsidR="00C11BE6" w:rsidRDefault="009C6F94">
      <w:pPr>
        <w:pStyle w:val="NormalnyWeb"/>
        <w:numPr>
          <w:ilvl w:val="0"/>
          <w:numId w:val="23"/>
        </w:numPr>
        <w:spacing w:before="0" w:after="0"/>
        <w:ind w:left="998" w:hanging="284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zastosowane materiały wykończeniowe,</w:t>
      </w:r>
    </w:p>
    <w:p w14:paraId="021D6F11" w14:textId="77777777" w:rsidR="00C11BE6" w:rsidRDefault="009C6F94">
      <w:pPr>
        <w:pStyle w:val="NormalnyWeb"/>
        <w:numPr>
          <w:ilvl w:val="0"/>
          <w:numId w:val="23"/>
        </w:numPr>
        <w:spacing w:before="0" w:after="0"/>
        <w:ind w:left="998" w:hanging="284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wyposażenie toalet dla osób z niepełnosprawnościami,</w:t>
      </w:r>
    </w:p>
    <w:p w14:paraId="3E3A889D" w14:textId="77777777" w:rsidR="00C11BE6" w:rsidRDefault="009C6F94">
      <w:pPr>
        <w:pStyle w:val="NormalnyWeb"/>
        <w:numPr>
          <w:ilvl w:val="0"/>
          <w:numId w:val="23"/>
        </w:numPr>
        <w:spacing w:before="0" w:after="0"/>
        <w:ind w:left="998" w:hanging="284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oznaczenia / tablice informacyjne,</w:t>
      </w:r>
    </w:p>
    <w:p w14:paraId="6697B3AB" w14:textId="77777777" w:rsidR="00C11BE6" w:rsidRDefault="009C6F94">
      <w:pPr>
        <w:pStyle w:val="NormalnyWeb"/>
        <w:numPr>
          <w:ilvl w:val="0"/>
          <w:numId w:val="23"/>
        </w:numPr>
        <w:spacing w:before="0" w:after="0"/>
        <w:ind w:left="998" w:hanging="284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oświetlenie.</w:t>
      </w:r>
    </w:p>
    <w:p w14:paraId="64D4A6A6" w14:textId="77777777" w:rsidR="00C11BE6" w:rsidRDefault="00C11BE6">
      <w:pPr>
        <w:pStyle w:val="NormalnyWeb"/>
        <w:spacing w:before="0" w:after="0"/>
        <w:ind w:left="1434"/>
        <w:jc w:val="both"/>
        <w:rPr>
          <w:rFonts w:ascii="Tahoma" w:hAnsi="Tahoma" w:cs="Calibri"/>
          <w:sz w:val="22"/>
          <w:szCs w:val="22"/>
        </w:rPr>
      </w:pPr>
    </w:p>
    <w:p w14:paraId="4D0A0DFD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714" w:hanging="357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t>Pomieszczeń biurowych i innych wynikających ze specyfikacji obiektu rozumianych jako:</w:t>
      </w:r>
    </w:p>
    <w:p w14:paraId="15C77B07" w14:textId="77777777" w:rsidR="00C11BE6" w:rsidRDefault="009C6F94">
      <w:pPr>
        <w:pStyle w:val="NormalnyWeb"/>
        <w:numPr>
          <w:ilvl w:val="0"/>
          <w:numId w:val="24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dostępność pomieszczeń do pracy i innych dla osób z niepełnosprawnościami,</w:t>
      </w:r>
    </w:p>
    <w:p w14:paraId="20C78666" w14:textId="77777777" w:rsidR="00C11BE6" w:rsidRDefault="009C6F94">
      <w:pPr>
        <w:pStyle w:val="NormalnyWeb"/>
        <w:numPr>
          <w:ilvl w:val="0"/>
          <w:numId w:val="24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parametry przestrzeni manewrowej,</w:t>
      </w:r>
    </w:p>
    <w:p w14:paraId="217BBC24" w14:textId="77777777" w:rsidR="00C11BE6" w:rsidRDefault="009C6F94">
      <w:pPr>
        <w:pStyle w:val="NormalnyWeb"/>
        <w:numPr>
          <w:ilvl w:val="0"/>
          <w:numId w:val="24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drzwi do pomieszczeń,</w:t>
      </w:r>
    </w:p>
    <w:p w14:paraId="22ED76B0" w14:textId="77777777" w:rsidR="00C11BE6" w:rsidRDefault="009C6F94">
      <w:pPr>
        <w:pStyle w:val="NormalnyWeb"/>
        <w:numPr>
          <w:ilvl w:val="0"/>
          <w:numId w:val="24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zastosowane materiały wykończeniowe,</w:t>
      </w:r>
    </w:p>
    <w:p w14:paraId="0AEF0DF7" w14:textId="77777777" w:rsidR="00C11BE6" w:rsidRDefault="009C6F94">
      <w:pPr>
        <w:pStyle w:val="NormalnyWeb"/>
        <w:numPr>
          <w:ilvl w:val="0"/>
          <w:numId w:val="24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wyposażenie pomieszczeń,</w:t>
      </w:r>
    </w:p>
    <w:p w14:paraId="0FF76FE9" w14:textId="77777777" w:rsidR="00C11BE6" w:rsidRDefault="009C6F94">
      <w:pPr>
        <w:pStyle w:val="NormalnyWeb"/>
        <w:numPr>
          <w:ilvl w:val="0"/>
          <w:numId w:val="24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oznaczenia / tablice informacyjne</w:t>
      </w:r>
    </w:p>
    <w:p w14:paraId="228CF372" w14:textId="77777777" w:rsidR="00C11BE6" w:rsidRDefault="009C6F94">
      <w:pPr>
        <w:pStyle w:val="NormalnyWeb"/>
        <w:numPr>
          <w:ilvl w:val="0"/>
          <w:numId w:val="24"/>
        </w:numPr>
        <w:spacing w:before="0" w:after="0"/>
        <w:ind w:left="1071" w:hanging="35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oświetlenie.</w:t>
      </w:r>
    </w:p>
    <w:p w14:paraId="14641FED" w14:textId="77777777" w:rsidR="00C11BE6" w:rsidRDefault="00C11BE6">
      <w:pPr>
        <w:pStyle w:val="NormalnyWeb"/>
        <w:spacing w:before="0" w:after="0"/>
        <w:ind w:left="1434"/>
        <w:jc w:val="both"/>
        <w:rPr>
          <w:rFonts w:ascii="Tahoma" w:hAnsi="Tahoma" w:cs="Calibri"/>
          <w:sz w:val="22"/>
          <w:szCs w:val="22"/>
        </w:rPr>
      </w:pPr>
    </w:p>
    <w:p w14:paraId="602993D3" w14:textId="77777777" w:rsidR="00C11BE6" w:rsidRDefault="009C6F94">
      <w:pPr>
        <w:pStyle w:val="NormalnyWeb"/>
        <w:numPr>
          <w:ilvl w:val="0"/>
          <w:numId w:val="17"/>
        </w:numPr>
        <w:spacing w:before="0" w:after="0"/>
        <w:ind w:left="340" w:firstLine="0"/>
        <w:jc w:val="both"/>
        <w:rPr>
          <w:rFonts w:ascii="Tahoma" w:hAnsi="Tahoma" w:cs="Calibri"/>
          <w:b/>
          <w:bCs/>
          <w:sz w:val="22"/>
          <w:szCs w:val="22"/>
        </w:rPr>
      </w:pPr>
      <w:r>
        <w:rPr>
          <w:rFonts w:ascii="Tahoma" w:hAnsi="Tahoma" w:cs="Calibri"/>
          <w:b/>
          <w:bCs/>
          <w:sz w:val="22"/>
          <w:szCs w:val="22"/>
        </w:rPr>
        <w:t>Dostępności informacyjno-komunikacyjnej rozumianej jako:</w:t>
      </w:r>
    </w:p>
    <w:p w14:paraId="3618DF7E" w14:textId="77777777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</w:pPr>
      <w:r>
        <w:rPr>
          <w:rFonts w:ascii="Tahoma" w:hAnsi="Tahoma" w:cs="Calibri"/>
          <w:sz w:val="22"/>
          <w:szCs w:val="22"/>
        </w:rPr>
        <w:t>a)  urządzenia lub środki techniczne do obsługi osób słabosłyszących, takie jak np. pętle indukcyjne, systemy FM, systemy na podczerwień (IR), systemy Bluetooth</w:t>
      </w:r>
    </w:p>
    <w:p w14:paraId="7342B671" w14:textId="77777777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 xml:space="preserve">b)  Kontakt telefoniczny </w:t>
      </w:r>
    </w:p>
    <w:p w14:paraId="615E0CCD" w14:textId="312F29CE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 xml:space="preserve">c) Kontakt korespondencyjny - przesyłanie wiadomości tekstowych, w tym z wykorzystaniem wiadomości SMS, MMS lub komunikatorów internetowych </w:t>
      </w:r>
    </w:p>
    <w:p w14:paraId="701E0922" w14:textId="77777777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lastRenderedPageBreak/>
        <w:t>d) Komunikacja audiowizualna</w:t>
      </w:r>
    </w:p>
    <w:p w14:paraId="4B51566F" w14:textId="77777777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 xml:space="preserve">e) Przesyłanie faksów </w:t>
      </w:r>
    </w:p>
    <w:p w14:paraId="0A6DCE8C" w14:textId="77777777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 xml:space="preserve">f) Wykorzystanie tłumacza języka migowego przez strony internetowe i/lub aplikacje (tłumaczenie online) </w:t>
      </w:r>
    </w:p>
    <w:p w14:paraId="31998BC1" w14:textId="77777777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 xml:space="preserve">g) Pomoc tłumacza języka migowego – kontakt osobisty </w:t>
      </w:r>
    </w:p>
    <w:p w14:paraId="6A933C1C" w14:textId="77777777" w:rsidR="00C11BE6" w:rsidRDefault="009C6F94">
      <w:pPr>
        <w:pStyle w:val="NormalnyWeb"/>
        <w:tabs>
          <w:tab w:val="left" w:pos="760"/>
        </w:tabs>
        <w:spacing w:before="0" w:after="0"/>
        <w:ind w:left="737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 xml:space="preserve">h) Kontakt z pomocą tłumacza-przewodnika (kontakt osobisty) </w:t>
      </w:r>
    </w:p>
    <w:p w14:paraId="2D75E593" w14:textId="77777777" w:rsidR="00C11BE6" w:rsidRDefault="00C11BE6">
      <w:pPr>
        <w:pStyle w:val="NormalnyWeb"/>
        <w:tabs>
          <w:tab w:val="left" w:pos="760"/>
        </w:tabs>
        <w:spacing w:before="0" w:after="0"/>
        <w:ind w:left="720"/>
        <w:jc w:val="both"/>
        <w:rPr>
          <w:rFonts w:ascii="Tahoma" w:hAnsi="Tahoma" w:cs="Calibri"/>
          <w:b/>
          <w:bCs/>
          <w:sz w:val="22"/>
          <w:szCs w:val="22"/>
        </w:rPr>
      </w:pPr>
    </w:p>
    <w:p w14:paraId="1EF5055B" w14:textId="77777777" w:rsidR="00C11BE6" w:rsidRDefault="009C6F94">
      <w:pPr>
        <w:pStyle w:val="NormalnyWeb"/>
        <w:tabs>
          <w:tab w:val="left" w:pos="760"/>
        </w:tabs>
        <w:spacing w:before="0" w:after="0"/>
        <w:ind w:left="1060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9)</w:t>
      </w:r>
      <w:r>
        <w:rPr>
          <w:rFonts w:ascii="Tahoma" w:hAnsi="Tahoma" w:cs="Calibri"/>
          <w:b/>
          <w:bCs/>
          <w:sz w:val="22"/>
          <w:szCs w:val="22"/>
        </w:rPr>
        <w:t xml:space="preserve">  </w:t>
      </w:r>
      <w:r>
        <w:rPr>
          <w:rFonts w:ascii="Tahoma" w:hAnsi="Tahoma" w:cs="Calibri"/>
          <w:b/>
          <w:bCs/>
          <w:sz w:val="22"/>
          <w:szCs w:val="22"/>
        </w:rPr>
        <w:tab/>
        <w:t>Ochrony przeciwpożarowej i ewakuacji.</w:t>
      </w:r>
    </w:p>
    <w:p w14:paraId="38DB3C71" w14:textId="77777777" w:rsidR="00C11BE6" w:rsidRDefault="00C11BE6">
      <w:pPr>
        <w:pStyle w:val="NormalnyWeb"/>
        <w:spacing w:before="0" w:after="0"/>
        <w:ind w:left="794"/>
        <w:jc w:val="both"/>
        <w:rPr>
          <w:rFonts w:ascii="Tahoma" w:hAnsi="Tahoma" w:cs="Calibri"/>
          <w:sz w:val="22"/>
          <w:szCs w:val="22"/>
        </w:rPr>
      </w:pPr>
    </w:p>
    <w:p w14:paraId="4DAA805C" w14:textId="00421BB1" w:rsidR="00C11BE6" w:rsidRDefault="009C6F94">
      <w:pPr>
        <w:pStyle w:val="NormalnyWeb"/>
        <w:spacing w:before="0" w:after="0"/>
        <w:jc w:val="both"/>
        <w:rPr>
          <w:rFonts w:ascii="Tahoma" w:hAnsi="Tahoma" w:cs="Calibri"/>
          <w:sz w:val="22"/>
          <w:szCs w:val="22"/>
        </w:rPr>
      </w:pPr>
      <w:r>
        <w:rPr>
          <w:rFonts w:ascii="Tahoma" w:hAnsi="Tahoma" w:cs="Calibri"/>
          <w:sz w:val="22"/>
          <w:szCs w:val="22"/>
        </w:rPr>
        <w:t>2.3  Weryfikacja spełniania minimalnych wymagań określonych w art. 6 pkt 1 i 3 ustawy  o dostępności, polegającej co najmniej na:</w:t>
      </w:r>
    </w:p>
    <w:p w14:paraId="210B23F0" w14:textId="77777777" w:rsidR="00C11BE6" w:rsidRDefault="009C6F9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Sprawdzeniu na ile rozwiązania architektoniczne i techniczne oraz stan obecny analizowanych lokalizacji spełnia wymagania dostępności dla osób ze szczególnymi potrzebami, w tym w szczególności osób z niepełnosprawnościami,</w:t>
      </w:r>
    </w:p>
    <w:p w14:paraId="436E71D9" w14:textId="77777777" w:rsidR="00C11BE6" w:rsidRDefault="009C6F9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Zidentyfikowaniu istniejących barier oraz ograniczeń w dostępności,</w:t>
      </w:r>
    </w:p>
    <w:p w14:paraId="7F126C7E" w14:textId="77777777" w:rsidR="00C11BE6" w:rsidRDefault="009C6F9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Sprawdzeniu możliwości zwiększenia dostępności architektonicznej i informacyjno-komunikacyjnej poprzez wdrożenie rozwiązań uwzględniających zasady uniwersalnego projektowania lub racjonalnych usprawnień.</w:t>
      </w:r>
    </w:p>
    <w:p w14:paraId="00D915BD" w14:textId="77777777" w:rsidR="00C11BE6" w:rsidRDefault="00C11BE6">
      <w:pPr>
        <w:pStyle w:val="Akapitzlist"/>
        <w:spacing w:after="0" w:line="240" w:lineRule="auto"/>
        <w:ind w:left="1077"/>
        <w:jc w:val="both"/>
        <w:rPr>
          <w:rFonts w:ascii="Tahoma" w:hAnsi="Tahoma" w:cs="Calibri"/>
        </w:rPr>
      </w:pPr>
    </w:p>
    <w:p w14:paraId="23239FCC" w14:textId="77777777" w:rsidR="00C11BE6" w:rsidRDefault="009C6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/>
        </w:rPr>
      </w:pPr>
      <w:r>
        <w:rPr>
          <w:rFonts w:ascii="Tahoma" w:hAnsi="Tahoma" w:cs="Calibri"/>
        </w:rPr>
        <w:tab/>
        <w:t xml:space="preserve">2.4 Lokalizacja jest oceniana pod kątem dostępności dla osób ze szczególnymi </w:t>
      </w:r>
      <w:r>
        <w:rPr>
          <w:rFonts w:ascii="Tahoma" w:hAnsi="Tahoma" w:cs="Calibri"/>
        </w:rPr>
        <w:tab/>
        <w:t>potrzebami,   w szczególności:</w:t>
      </w:r>
    </w:p>
    <w:p w14:paraId="28B60810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Osób na wózkach, poruszających się o kulach, o ograniczonej możliwości poruszania się,</w:t>
      </w:r>
    </w:p>
    <w:p w14:paraId="6A602092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Osób niewidomych i słabo widzących,</w:t>
      </w:r>
    </w:p>
    <w:p w14:paraId="04CE5F91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Osób głuchych i słabo słyszących,</w:t>
      </w:r>
    </w:p>
    <w:p w14:paraId="7C34E349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Osób z innymi niepełnosprawnościami,</w:t>
      </w:r>
    </w:p>
    <w:p w14:paraId="14006EC5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Osób z czasową niepełnosprawnością,</w:t>
      </w:r>
    </w:p>
    <w:p w14:paraId="6FA629CB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 xml:space="preserve">Kobiet w ciąży, </w:t>
      </w:r>
    </w:p>
    <w:p w14:paraId="549E53B8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Calibri"/>
        </w:rPr>
      </w:pPr>
      <w:r>
        <w:rPr>
          <w:rFonts w:ascii="Tahoma" w:hAnsi="Tahoma" w:cs="Calibri"/>
        </w:rPr>
        <w:t>Osób z wózkami dziecięcymi,</w:t>
      </w:r>
    </w:p>
    <w:p w14:paraId="58FEA72A" w14:textId="77777777" w:rsidR="00C11BE6" w:rsidRDefault="009C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Calibri"/>
          <w:lang w:eastAsia="pl-PL"/>
        </w:rPr>
      </w:pPr>
      <w:r>
        <w:rPr>
          <w:rFonts w:ascii="Tahoma" w:eastAsia="Times New Roman" w:hAnsi="Tahoma" w:cs="Calibri"/>
          <w:lang w:eastAsia="pl-PL"/>
        </w:rPr>
        <w:t>Osób starszych.</w:t>
      </w:r>
    </w:p>
    <w:p w14:paraId="3C5FD09F" w14:textId="77777777" w:rsidR="00C11BE6" w:rsidRDefault="00C11BE6">
      <w:pPr>
        <w:pStyle w:val="Akapitzlist"/>
        <w:spacing w:after="0" w:line="240" w:lineRule="auto"/>
        <w:ind w:left="1440"/>
        <w:jc w:val="both"/>
        <w:rPr>
          <w:rFonts w:ascii="Tahoma" w:eastAsia="Times New Roman" w:hAnsi="Tahoma" w:cs="Times New Roman"/>
          <w:b/>
          <w:lang w:eastAsia="pl-PL"/>
        </w:rPr>
      </w:pPr>
    </w:p>
    <w:p w14:paraId="42D33FD9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3D454ABD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 TERMIN REALIZACJI ZAMÓWIENIA</w:t>
      </w:r>
    </w:p>
    <w:p w14:paraId="26510582" w14:textId="7F736DBE" w:rsidR="00C11BE6" w:rsidRDefault="009C6F94">
      <w:pPr>
        <w:numPr>
          <w:ilvl w:val="0"/>
          <w:numId w:val="15"/>
        </w:numPr>
        <w:spacing w:after="200" w:line="240" w:lineRule="auto"/>
        <w:contextualSpacing/>
        <w:jc w:val="both"/>
      </w:pPr>
      <w:r>
        <w:rPr>
          <w:rFonts w:ascii="Tahoma" w:hAnsi="Tahoma"/>
        </w:rPr>
        <w:t xml:space="preserve">Termin realizacji całości zamówienia: do  </w:t>
      </w:r>
      <w:r>
        <w:rPr>
          <w:rFonts w:ascii="Tahoma" w:hAnsi="Tahoma"/>
          <w:b/>
          <w:bCs/>
        </w:rPr>
        <w:t>30.</w:t>
      </w:r>
      <w:r w:rsidR="00CB5D8F">
        <w:rPr>
          <w:rFonts w:ascii="Tahoma" w:hAnsi="Tahoma"/>
          <w:b/>
          <w:bCs/>
        </w:rPr>
        <w:t>1</w:t>
      </w:r>
      <w:r w:rsidR="008345D1">
        <w:rPr>
          <w:rFonts w:ascii="Tahoma" w:hAnsi="Tahoma"/>
          <w:b/>
          <w:bCs/>
        </w:rPr>
        <w:t>1</w:t>
      </w:r>
      <w:r>
        <w:rPr>
          <w:rFonts w:ascii="Tahoma" w:hAnsi="Tahoma"/>
          <w:b/>
          <w:bCs/>
        </w:rPr>
        <w:t>.2021r</w:t>
      </w:r>
      <w:r>
        <w:rPr>
          <w:rFonts w:ascii="Tahoma" w:hAnsi="Tahoma"/>
        </w:rPr>
        <w:t>.</w:t>
      </w:r>
    </w:p>
    <w:p w14:paraId="0D4D25B2" w14:textId="77777777" w:rsidR="00C11BE6" w:rsidRDefault="009C6F94">
      <w:pPr>
        <w:numPr>
          <w:ilvl w:val="0"/>
          <w:numId w:val="15"/>
        </w:numPr>
        <w:spacing w:after="200" w:line="240" w:lineRule="auto"/>
        <w:contextualSpacing/>
        <w:jc w:val="both"/>
      </w:pPr>
      <w:r>
        <w:rPr>
          <w:rFonts w:ascii="Tahoma" w:hAnsi="Tahoma"/>
        </w:rPr>
        <w:t>Zamawiający zastrzega sobie prawo nadzorowania i wnoszenia uwag do opracowywanego audytu na każdym etapie jego tworzenia.</w:t>
      </w:r>
    </w:p>
    <w:p w14:paraId="63ABCC7E" w14:textId="77777777" w:rsidR="00C11BE6" w:rsidRDefault="009C6F94">
      <w:pPr>
        <w:numPr>
          <w:ilvl w:val="0"/>
          <w:numId w:val="15"/>
        </w:numPr>
        <w:spacing w:after="200" w:line="240" w:lineRule="auto"/>
        <w:contextualSpacing/>
        <w:jc w:val="both"/>
      </w:pPr>
      <w:r>
        <w:rPr>
          <w:rFonts w:ascii="Tahoma" w:eastAsia="Times New Roman" w:hAnsi="Tahoma" w:cs="Times New Roman"/>
          <w:lang w:eastAsia="pl-PL"/>
        </w:rPr>
        <w:t>Zamawiający zastrzega sobie prawo zatwierdzenia ostatecznej wersji audytu.</w:t>
      </w:r>
    </w:p>
    <w:p w14:paraId="50D0EBC4" w14:textId="77777777" w:rsidR="00C11BE6" w:rsidRDefault="00C11BE6">
      <w:pPr>
        <w:spacing w:after="200" w:line="240" w:lineRule="auto"/>
        <w:ind w:left="720"/>
        <w:contextualSpacing/>
        <w:jc w:val="both"/>
        <w:rPr>
          <w:rFonts w:ascii="Tahoma" w:eastAsia="Times New Roman" w:hAnsi="Tahoma" w:cs="Times New Roman"/>
          <w:lang w:eastAsia="pl-PL"/>
        </w:rPr>
      </w:pPr>
    </w:p>
    <w:p w14:paraId="79F1B0EA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VI WARUNKI UDZIAŁU W POSTĘPOWANIU</w:t>
      </w:r>
    </w:p>
    <w:p w14:paraId="481D04BB" w14:textId="77777777" w:rsidR="00C11BE6" w:rsidRDefault="009C6F94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O udzielenie zamówienia mogą ubiegać się Wykonawcy, którzy: </w:t>
      </w:r>
    </w:p>
    <w:p w14:paraId="1C4B605D" w14:textId="77777777" w:rsidR="00C11BE6" w:rsidRDefault="009C6F94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>Dysponują odpowiednim potencjałem technicznym oraz osobami zdolnymi do wykonania zamówienia, znajdują się w sytuacji ekonomicznej i finansowej zapewniającej wykonanie zamówienia – na potwierdzenie powyższego Wykonawca złoży oświadczenie o treści zgodnej z załącznikiem nr 2;</w:t>
      </w:r>
    </w:p>
    <w:p w14:paraId="12BC8EE1" w14:textId="77777777" w:rsidR="00C11BE6" w:rsidRDefault="009C6F94">
      <w:pPr>
        <w:numPr>
          <w:ilvl w:val="0"/>
          <w:numId w:val="14"/>
        </w:numPr>
        <w:spacing w:after="200" w:line="240" w:lineRule="auto"/>
        <w:contextualSpacing/>
        <w:jc w:val="both"/>
      </w:pPr>
      <w:r>
        <w:rPr>
          <w:rFonts w:ascii="Tahoma" w:hAnsi="Tahoma"/>
        </w:rPr>
        <w:t>Posiadają wiedzę i doświadczenie w realizacji usług będących przedmiotem niniejszego zapytania lub podobnych (tj. audytu d</w:t>
      </w:r>
      <w:r>
        <w:rPr>
          <w:rFonts w:ascii="Tahoma" w:hAnsi="Tahoma"/>
          <w:color w:val="000000"/>
        </w:rPr>
        <w:t xml:space="preserve">ostępności architektonicznej     </w:t>
      </w:r>
      <w:r>
        <w:rPr>
          <w:rFonts w:ascii="Tahoma" w:eastAsia="Times New Roman" w:hAnsi="Tahoma" w:cs="Calibri"/>
          <w:color w:val="000000"/>
        </w:rPr>
        <w:t xml:space="preserve"> i/lub informacyjno-komunikacyjnej wraz z </w:t>
      </w:r>
      <w:r>
        <w:rPr>
          <w:rFonts w:ascii="Tahoma" w:eastAsia="Times New Roman" w:hAnsi="Tahoma" w:cs="Times New Roman"/>
          <w:color w:val="000000"/>
          <w:lang w:eastAsia="pl-PL"/>
        </w:rPr>
        <w:t>rekomendacjami racjonalnych działań / usprawnień wpływających na poprawę użyteczności budynku przez osoby ze szczególnymi potrzebami</w:t>
      </w:r>
      <w:r>
        <w:rPr>
          <w:rFonts w:ascii="Tahoma" w:hAnsi="Tahoma"/>
        </w:rPr>
        <w:t xml:space="preserve">), obejmujących swoim zakresem obiekty użyteczności publicznej – na potwierdzenie powyższego Wykonawca dołączy wykaz </w:t>
      </w:r>
      <w:r>
        <w:rPr>
          <w:rFonts w:ascii="Tahoma" w:hAnsi="Tahoma"/>
        </w:rPr>
        <w:lastRenderedPageBreak/>
        <w:t>zrealizowanych usług (wg. Wzoru stanowiący zał. Nr 3), potwierdzających wykonanie co najmniej 1 takiej usługi oraz załączy referencje odbiorców tych usług tj. protokół odbioru i/lub referencje firm, dla których wykonał usługę w należyty sposób.</w:t>
      </w:r>
    </w:p>
    <w:p w14:paraId="66C1FEF7" w14:textId="77777777" w:rsidR="00C11BE6" w:rsidRDefault="009C6F94">
      <w:pPr>
        <w:spacing w:after="200" w:line="240" w:lineRule="auto"/>
        <w:ind w:left="360"/>
        <w:contextualSpacing/>
        <w:jc w:val="both"/>
        <w:rPr>
          <w:rFonts w:ascii="Tahoma" w:eastAsia="Times New Roman" w:hAnsi="Tahoma" w:cs="Times New Roman"/>
          <w:b/>
          <w:lang w:eastAsia="pl-PL"/>
        </w:rPr>
      </w:pPr>
      <w:r>
        <w:rPr>
          <w:rFonts w:ascii="Tahoma" w:eastAsia="Times New Roman" w:hAnsi="Tahoma" w:cs="Times New Roman"/>
          <w:b/>
          <w:lang w:eastAsia="pl-PL"/>
        </w:rPr>
        <w:t>2.    Ocena spełnienia warunków dopuszczających do udziału w postępowaniu odbędzie się na zasadzie „spełnia”/ „nie spełnia” – na podstawie informacji zawartych w złożonych dokumentach i oświadczeniach tj. zgodnie z zasadą, czy dokumenty zostały dołączone do formularza ofertowego i czy spełniają określone w formularzu ofertowym wymagania.</w:t>
      </w:r>
    </w:p>
    <w:p w14:paraId="3B5F3088" w14:textId="77777777" w:rsidR="00C11BE6" w:rsidRDefault="00C11BE6">
      <w:pPr>
        <w:spacing w:after="200" w:line="240" w:lineRule="auto"/>
        <w:ind w:left="360"/>
        <w:contextualSpacing/>
        <w:jc w:val="both"/>
        <w:rPr>
          <w:rFonts w:ascii="Tahoma" w:eastAsia="Times New Roman" w:hAnsi="Tahoma" w:cs="Times New Roman"/>
          <w:b/>
          <w:lang w:eastAsia="pl-PL"/>
        </w:rPr>
      </w:pPr>
    </w:p>
    <w:p w14:paraId="4DD5B356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VII SPOSÓB PRZYGOTOWANIA OFERTY</w:t>
      </w:r>
    </w:p>
    <w:p w14:paraId="1A4DD398" w14:textId="77777777" w:rsidR="00C11BE6" w:rsidRDefault="009C6F94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>Wykonawca powinien złożyć ofertę na formularzu załączonym do niniejszego zapytania /zał.nr 1/ wraz z oświadczeniem o spełnieniu warunków uczestnictwa w postępowaniu ofertowym /zał.nr 2/, wykazem realizowanych usług /zał.nr.3/ oraz klauzulą informacyjną dotyczącą przetwarzania danych osobowych /zał.nr 4/.</w:t>
      </w:r>
    </w:p>
    <w:p w14:paraId="36BB3088" w14:textId="17DAED7C" w:rsidR="00C11BE6" w:rsidRDefault="009C6F94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>Oferta powinna być sporządzona w języku polskim pod rygorem nieważności i podpisana przez Wykonawcę lub osobę upoważnioną do reprezentowania Wykonawcy. W takim przypadku należy wraz z ofertą złożyć stosowne pełnomocnictwo w postaci oryginału.</w:t>
      </w:r>
    </w:p>
    <w:p w14:paraId="4641A1BB" w14:textId="77777777" w:rsidR="00C11BE6" w:rsidRDefault="009C6F94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>Do oferty należy załączyć dowody; protokół-zdawczo odbiorczy i/lub referencje - potwierdzające niezbędną wiedzę i doświadczenie, a także inne dokumenty potwierdzające spełnienie warunków udziału w postępowaniu.</w:t>
      </w:r>
    </w:p>
    <w:p w14:paraId="5EE651FB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</w:rPr>
      </w:pPr>
    </w:p>
    <w:p w14:paraId="44E3FC39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79500213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VIII OPIS SPOSOBU OBLICZANIA CENY</w:t>
      </w:r>
    </w:p>
    <w:p w14:paraId="0D6C9E46" w14:textId="77777777" w:rsidR="00C11BE6" w:rsidRDefault="009C6F9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W formularzu ofertowym, którego wzór stanowi załącznik nr 1 do zapytania ofertowego Wykonawca powinien podać cenę netto, % stawkę podatku VAT oraz cenę brutto, z dokładnością do dwóch miejsc po przecinku w PLN. </w:t>
      </w:r>
    </w:p>
    <w:p w14:paraId="1B009137" w14:textId="16F9BDBB" w:rsidR="00C11BE6" w:rsidRDefault="009C6F9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Cena ofertowa ma charakter ryczałtowy i powinna być tak skalkulowana, aby obejmowała wykonanie całości przedmiotu zamówienia opisanego w zapytaniu ofertowym i jego załącznikach. Aby była ceną kompletną, jednoznaczną i ostateczną, uwzględniającą ewentualne rabaty i upusty oraz wszelkie koszty związane </w:t>
      </w:r>
      <w:r w:rsidR="005F0B12">
        <w:rPr>
          <w:rFonts w:ascii="Tahoma" w:hAnsi="Tahoma"/>
        </w:rPr>
        <w:t xml:space="preserve"> </w:t>
      </w:r>
      <w:r>
        <w:rPr>
          <w:rFonts w:ascii="Tahoma" w:hAnsi="Tahoma"/>
        </w:rPr>
        <w:t>z właściwym przygotowaniem i wykonaniem przedmiotu zamówienia.</w:t>
      </w:r>
    </w:p>
    <w:p w14:paraId="7FCF9DC7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5AE4E157" w14:textId="77777777" w:rsidR="00C11BE6" w:rsidRDefault="009C6F94">
      <w:pPr>
        <w:spacing w:after="200" w:line="240" w:lineRule="auto"/>
        <w:contextualSpacing/>
        <w:jc w:val="both"/>
      </w:pPr>
      <w:r>
        <w:rPr>
          <w:rFonts w:ascii="Tahoma" w:hAnsi="Tahoma"/>
          <w:b/>
          <w:bCs/>
        </w:rPr>
        <w:t>IX KRYTERIA WYBORU NAJKORZYSTNIEJSZEJ OFERTY</w:t>
      </w:r>
    </w:p>
    <w:p w14:paraId="19A59ECC" w14:textId="77777777" w:rsidR="00C11BE6" w:rsidRDefault="009C6F94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>Wybór oferty dokonany zostanie w oparciu o następujące kryteria i ich znaczenie:</w:t>
      </w:r>
    </w:p>
    <w:p w14:paraId="01C9C9EF" w14:textId="77777777" w:rsidR="00C11BE6" w:rsidRDefault="009C6F94">
      <w:pPr>
        <w:numPr>
          <w:ilvl w:val="0"/>
          <w:numId w:val="7"/>
        </w:numPr>
        <w:spacing w:after="200" w:line="240" w:lineRule="auto"/>
        <w:contextualSpacing/>
        <w:jc w:val="both"/>
      </w:pPr>
      <w:r>
        <w:rPr>
          <w:rFonts w:ascii="Tahoma" w:hAnsi="Tahoma"/>
        </w:rPr>
        <w:t>Cena brutto - 100%</w:t>
      </w:r>
    </w:p>
    <w:p w14:paraId="355496CA" w14:textId="77777777" w:rsidR="00C11BE6" w:rsidRDefault="009C6F94">
      <w:pPr>
        <w:spacing w:after="200" w:line="240" w:lineRule="auto"/>
        <w:ind w:left="360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>b)   Punkty za kryterium cena brutto wyliczone zostaną wg następującego wzoru:</w:t>
      </w:r>
    </w:p>
    <w:p w14:paraId="0929895F" w14:textId="77777777" w:rsidR="00C11BE6" w:rsidRDefault="00C11BE6">
      <w:pPr>
        <w:spacing w:after="200" w:line="240" w:lineRule="auto"/>
        <w:ind w:left="360"/>
        <w:contextualSpacing/>
        <w:jc w:val="both"/>
        <w:rPr>
          <w:rFonts w:ascii="Tahoma" w:hAnsi="Tahoma"/>
        </w:rPr>
      </w:pPr>
    </w:p>
    <w:p w14:paraId="1987BEA8" w14:textId="77777777" w:rsidR="00C11BE6" w:rsidRDefault="009C6F94">
      <w:pPr>
        <w:spacing w:after="200" w:line="240" w:lineRule="auto"/>
        <w:ind w:left="360"/>
        <w:contextualSpacing/>
        <w:jc w:val="both"/>
        <w:rPr>
          <w:rFonts w:ascii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 xml:space="preserve">      </w:t>
      </w:r>
      <w:r>
        <w:rPr>
          <w:rFonts w:ascii="Tahoma" w:hAnsi="Tahoma"/>
          <w:sz w:val="18"/>
          <w:szCs w:val="18"/>
        </w:rPr>
        <w:t>Cena brutto oferty najkorzystniejszej spośród wszystkich ofert nieodrzuconych</w:t>
      </w:r>
    </w:p>
    <w:p w14:paraId="07A9EEE7" w14:textId="77777777" w:rsidR="00C11BE6" w:rsidRDefault="009C6F94">
      <w:pPr>
        <w:spacing w:after="200" w:line="240" w:lineRule="auto"/>
        <w:ind w:left="360"/>
        <w:contextualSpacing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-------------------------------------------------------------------------------------------- x 100=ilość punktów</w:t>
      </w:r>
    </w:p>
    <w:p w14:paraId="1D3ECC6B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 xml:space="preserve">                                         </w:t>
      </w:r>
      <w:r>
        <w:rPr>
          <w:rFonts w:ascii="Tahoma" w:hAnsi="Tahoma"/>
          <w:sz w:val="18"/>
          <w:szCs w:val="18"/>
        </w:rPr>
        <w:t>Cena brutto wskazana w ofercie badanej</w:t>
      </w:r>
    </w:p>
    <w:p w14:paraId="0D34D6B4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</w:rPr>
      </w:pPr>
    </w:p>
    <w:p w14:paraId="3F1D62D9" w14:textId="77777777" w:rsidR="00C11BE6" w:rsidRDefault="009C6F94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>Zamawiający udzieli zamówienia Wykonawcy, którego oferta odpowiada wszystkim wymaganiom określonym w niniejszym zapytaniu i została oceniona jako najkorzystniejsza w oparciu o podane kryteria.</w:t>
      </w:r>
    </w:p>
    <w:p w14:paraId="65660628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160718E1" w14:textId="4D3F0E30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07101F2F" w14:textId="1088F617" w:rsidR="000F5EBA" w:rsidRDefault="000F5EBA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715583AE" w14:textId="77777777" w:rsidR="000F5EBA" w:rsidRDefault="000F5EBA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29523C3E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</w:p>
    <w:p w14:paraId="52DDDB75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lastRenderedPageBreak/>
        <w:t>X MIEJSCE I TERMIN SKŁADANIA OFERT</w:t>
      </w:r>
    </w:p>
    <w:p w14:paraId="2438F58A" w14:textId="0D0DE608" w:rsidR="00C11BE6" w:rsidRPr="00742875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</w:rPr>
      </w:pPr>
      <w:r>
        <w:rPr>
          <w:rFonts w:ascii="Tahoma" w:hAnsi="Tahoma"/>
        </w:rPr>
        <w:t>1. Ofertę nale</w:t>
      </w:r>
      <w:r w:rsidR="00742875">
        <w:rPr>
          <w:rFonts w:ascii="Tahoma" w:hAnsi="Tahoma"/>
        </w:rPr>
        <w:t xml:space="preserve">ży złożyć </w:t>
      </w:r>
      <w:r w:rsidR="002A7209">
        <w:rPr>
          <w:rFonts w:ascii="Tahoma" w:hAnsi="Tahoma"/>
        </w:rPr>
        <w:t xml:space="preserve">za pomocą Platformy Zakupowej dostępnej pod adresem  </w:t>
      </w:r>
      <w:hyperlink r:id="rId8" w:history="1">
        <w:r w:rsidR="002A7209" w:rsidRPr="009A3D17">
          <w:rPr>
            <w:rStyle w:val="Hipercze"/>
            <w:rFonts w:ascii="Tahoma" w:hAnsi="Tahoma"/>
          </w:rPr>
          <w:t>https://platformazakupowa.pl/pn/chelmiec</w:t>
        </w:r>
      </w:hyperlink>
      <w:r w:rsidR="002A7209">
        <w:rPr>
          <w:rFonts w:ascii="Tahoma" w:hAnsi="Tahoma"/>
        </w:rPr>
        <w:t>, gdzie należy złożyć ofertę w formie elektronicznej wraz z załącznikami</w:t>
      </w:r>
      <w:r w:rsidR="00742875">
        <w:rPr>
          <w:rFonts w:ascii="Tahoma" w:hAnsi="Tahoma"/>
        </w:rPr>
        <w:t xml:space="preserve"> w terminie do </w:t>
      </w:r>
      <w:r w:rsidR="00742875" w:rsidRPr="00742875">
        <w:rPr>
          <w:rFonts w:ascii="Tahoma" w:hAnsi="Tahoma"/>
          <w:b/>
          <w:bCs/>
        </w:rPr>
        <w:t>13.09.2021r. godz. 15.00</w:t>
      </w:r>
    </w:p>
    <w:p w14:paraId="28D8D55D" w14:textId="77777777" w:rsidR="002A7209" w:rsidRDefault="002A7209">
      <w:pPr>
        <w:spacing w:after="200" w:line="240" w:lineRule="auto"/>
        <w:contextualSpacing/>
        <w:jc w:val="both"/>
      </w:pPr>
    </w:p>
    <w:p w14:paraId="38308766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2. Oferty które wpłyną po terminie nie będą brane pod uwagę. </w:t>
      </w:r>
    </w:p>
    <w:p w14:paraId="38C72CD8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  <w:color w:val="000000"/>
        </w:rPr>
      </w:pPr>
    </w:p>
    <w:p w14:paraId="4C103DAC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 xml:space="preserve">XI WARUNKI WYKLUCZENIA WYKONAWCY I ODRZUCENIA OFERTY </w:t>
      </w:r>
    </w:p>
    <w:p w14:paraId="261ADC35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Oferta zostanie odrzucona jeśli:</w:t>
      </w:r>
    </w:p>
    <w:p w14:paraId="6F7EA63B" w14:textId="77777777" w:rsidR="00C11BE6" w:rsidRDefault="009C6F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Jej treść nie odpowiada treści zapytania ofertowego, jej zakres nie obejmuje całości przedmiotu zamówienia, w tym również, gdy niezgodność wynika z niezapoznania się przez Wykonawcę z wyjaśnieniami zawartymi w niniejszym zapytaniu,</w:t>
      </w:r>
    </w:p>
    <w:p w14:paraId="68BC227D" w14:textId="77777777" w:rsidR="00C11BE6" w:rsidRDefault="009C6F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Jej złożenie stanowi czyn nieuczciwej konkurencji w rozumieniu przepisów o zwalczaniu nieuczciwej konkurencji,</w:t>
      </w:r>
    </w:p>
    <w:p w14:paraId="1483F565" w14:textId="77777777" w:rsidR="00C11BE6" w:rsidRDefault="009C6F9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Zamawiający zastrzega sobie prawo do odrzucenia oferty, jeśli Wykonawca nie przedłoży/nie prześle wraz z ofertą wszystkich wymaganych dokumentów wskazanych w zapytaniu ofertowym</w:t>
      </w:r>
      <w:r>
        <w:rPr>
          <w:rFonts w:ascii="Tahoma" w:hAnsi="Tahoma"/>
          <w:b/>
          <w:bCs/>
          <w:color w:val="000000"/>
        </w:rPr>
        <w:t>,</w:t>
      </w:r>
      <w:r>
        <w:rPr>
          <w:rFonts w:ascii="Tahoma" w:hAnsi="Tahoma"/>
          <w:color w:val="000000"/>
        </w:rPr>
        <w:t xml:space="preserve"> bądź jeśli Wykonawca nie złoży formularza ofertowego zgodnego ze wzorem określonym przez Zamawiającego</w:t>
      </w:r>
    </w:p>
    <w:p w14:paraId="2569F152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color w:val="000000"/>
        </w:rPr>
      </w:pPr>
    </w:p>
    <w:p w14:paraId="6C5B9128" w14:textId="77777777" w:rsidR="00C11BE6" w:rsidRDefault="009C6F9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Zamawiający może odrzucić ofertę bez dodatkowego wezwania, jeśli na pierwsze wezwanie Zamawiającego, Wykonawca nie złoży wyjaśnień lub złoży wyjaśnienia, które nie potwierdzają w wystarczającym stopniu spełnienia przez Wykonawcę warunków udziału w postępowaniu.</w:t>
      </w:r>
    </w:p>
    <w:p w14:paraId="0FDC987B" w14:textId="77777777" w:rsidR="00C11BE6" w:rsidRDefault="009C6F9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 tytułu odrzucenia oferty, Wykonawcom nie przysługują żadne roszczenia przeciw Zamawiającemu.</w:t>
      </w:r>
    </w:p>
    <w:p w14:paraId="1CD25E5C" w14:textId="77777777" w:rsidR="00C11BE6" w:rsidRDefault="009C6F9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 udziału w postępowaniu wykluczone zostaną podmioty powiązane osobowo lub kapitałowo z Zamawiającym. Oferta Wykluczonego Wykonawcy zostanie uznana za odrzuconą.</w:t>
      </w:r>
    </w:p>
    <w:p w14:paraId="4D7AA153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color w:val="000000"/>
        </w:rPr>
      </w:pPr>
    </w:p>
    <w:p w14:paraId="748BC5F1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XII ROZSTRZYGNIĘCIE POSTĘPOWANIA I ZLECENIE REALIZACJI ZAMÓWIENIA</w:t>
      </w:r>
    </w:p>
    <w:p w14:paraId="313591C2" w14:textId="77777777" w:rsidR="00C11BE6" w:rsidRDefault="009C6F9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Ocena ofert ma charakter niejawny. Zamawiający dokona oceny ofert pod względem formalnym i zgodności z niniejszym zapytaniem ofertowym</w:t>
      </w:r>
    </w:p>
    <w:p w14:paraId="6F2585D5" w14:textId="77777777" w:rsidR="00C11BE6" w:rsidRDefault="009C6F9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W toku badania i oceny ofert Zamawiający może zażądać od Wykonawcy wyjaśnień dotyczących treści oferty. Zamawiający uwzględni wyjaśnienia, jeśli nie prowadzą one do zmiany treści złożonej oferty.</w:t>
      </w:r>
    </w:p>
    <w:p w14:paraId="0D8C2BBA" w14:textId="77777777" w:rsidR="00C11BE6" w:rsidRDefault="009C6F9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Za najkorzystniejszą uznana zostanie oferta zawierająca najwyższą liczbę punktów.</w:t>
      </w:r>
    </w:p>
    <w:p w14:paraId="55762F0C" w14:textId="77777777" w:rsidR="00C11BE6" w:rsidRDefault="009C6F9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Jeżeli Zamawiający nie będzie mógł wybrać najkorzystniejszej oferty ze względu na to, że zostały złożone oferty o tej samej liczbie punktów, Zamawiający może wezwać Wykonawców, którzy złożyli te oferty, do złożenia w terminie określonym przez Zamawiającego ofert dodatkowych w zakresie oferowanej ceny.</w:t>
      </w:r>
    </w:p>
    <w:p w14:paraId="31F7CD35" w14:textId="4A7D1F6F" w:rsidR="00C11BE6" w:rsidRDefault="009C6F9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O wyborze najkorzystniejszej oferty Zamawiający zawiadomi Wykonawców w formie elektronicznej. Informacja o wyniku postępowania oraz dane Wykonawcy, którego oferta została wybrana jako najkorzystniejsza, zostaną zamieszczone na stronie internetowej gminy. Z Wykonawcą, który złoży najkorzystniejszą ofertę zostanie zawarta umowa.</w:t>
      </w:r>
    </w:p>
    <w:p w14:paraId="3D2BB679" w14:textId="51040EEE" w:rsidR="00742875" w:rsidRDefault="00742875" w:rsidP="00742875">
      <w:pPr>
        <w:spacing w:after="200" w:line="240" w:lineRule="auto"/>
        <w:contextualSpacing/>
        <w:jc w:val="both"/>
        <w:rPr>
          <w:rFonts w:ascii="Tahoma" w:hAnsi="Tahoma"/>
          <w:color w:val="000000"/>
        </w:rPr>
      </w:pPr>
    </w:p>
    <w:p w14:paraId="23BDAB89" w14:textId="77777777" w:rsidR="00742875" w:rsidRDefault="00742875" w:rsidP="00742875">
      <w:pPr>
        <w:spacing w:after="200" w:line="240" w:lineRule="auto"/>
        <w:contextualSpacing/>
        <w:jc w:val="both"/>
        <w:rPr>
          <w:rFonts w:ascii="Tahoma" w:hAnsi="Tahoma"/>
          <w:color w:val="000000"/>
        </w:rPr>
      </w:pPr>
    </w:p>
    <w:p w14:paraId="0A8828AC" w14:textId="77777777" w:rsidR="00C11BE6" w:rsidRDefault="009C6F94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Zamawiający jest uprawniony do wyboru kolejnej najkorzystniejszej oferty w przypadku, gdyby Wykonawca, którego oferta została uznana za najkorzystniejszą </w:t>
      </w:r>
      <w:r>
        <w:rPr>
          <w:rFonts w:ascii="Tahoma" w:hAnsi="Tahoma"/>
          <w:color w:val="000000"/>
        </w:rPr>
        <w:lastRenderedPageBreak/>
        <w:t>odmówił podpisania umowy lub gdyby podpisanie umowy z takim Wykonawcą stało się niemożliwe z innych przyczyn.</w:t>
      </w:r>
    </w:p>
    <w:p w14:paraId="248D0DBA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 xml:space="preserve">     XIII OSOBA UPOWAŻNIONA DO KONTAKTU Z WYKONAWCAMI</w:t>
      </w:r>
    </w:p>
    <w:p w14:paraId="525457BC" w14:textId="39D4BA6B" w:rsidR="00C11BE6" w:rsidRDefault="009C6F94">
      <w:pPr>
        <w:numPr>
          <w:ilvl w:val="0"/>
          <w:numId w:val="11"/>
        </w:numPr>
        <w:spacing w:after="200" w:line="240" w:lineRule="auto"/>
        <w:contextualSpacing/>
        <w:jc w:val="both"/>
      </w:pPr>
      <w:r>
        <w:rPr>
          <w:rFonts w:ascii="Tahoma" w:hAnsi="Tahoma"/>
          <w:color w:val="000000"/>
        </w:rPr>
        <w:t xml:space="preserve">Osobą uprawnioną do bezpośredniego kontaktowania się z Wykonawcami w imieniu Zamawiającego jest Pan </w:t>
      </w:r>
      <w:r w:rsidR="00043805">
        <w:rPr>
          <w:rFonts w:ascii="Tahoma" w:hAnsi="Tahoma"/>
          <w:color w:val="000000"/>
        </w:rPr>
        <w:t>Grzegorz Wesołowski</w:t>
      </w:r>
      <w:r>
        <w:rPr>
          <w:rFonts w:ascii="Tahoma" w:hAnsi="Tahoma"/>
          <w:color w:val="000000"/>
        </w:rPr>
        <w:t>, tel. 18</w:t>
      </w:r>
      <w:r w:rsidR="00043805">
        <w:rPr>
          <w:rFonts w:ascii="Tahoma" w:hAnsi="Tahoma"/>
          <w:color w:val="000000"/>
        </w:rPr>
        <w:t> 548-02-57</w:t>
      </w:r>
      <w:r>
        <w:rPr>
          <w:rFonts w:ascii="Tahoma" w:hAnsi="Tahoma"/>
          <w:color w:val="000000"/>
        </w:rPr>
        <w:t xml:space="preserve">, e-mail: </w:t>
      </w:r>
      <w:hyperlink r:id="rId9" w:history="1">
        <w:r w:rsidR="00B66768" w:rsidRPr="00751F26">
          <w:rPr>
            <w:rStyle w:val="Hipercze"/>
            <w:rFonts w:ascii="Tahoma" w:hAnsi="Tahoma"/>
          </w:rPr>
          <w:t>gwesolowski@chelmiec.pl</w:t>
        </w:r>
      </w:hyperlink>
      <w:r>
        <w:rPr>
          <w:rFonts w:ascii="Tahoma" w:hAnsi="Tahoma"/>
          <w:color w:val="000000"/>
        </w:rPr>
        <w:t>.</w:t>
      </w:r>
    </w:p>
    <w:p w14:paraId="08B6A5DC" w14:textId="77777777" w:rsidR="00C11BE6" w:rsidRDefault="00C11BE6">
      <w:pPr>
        <w:spacing w:after="200" w:line="240" w:lineRule="auto"/>
        <w:ind w:left="360"/>
        <w:contextualSpacing/>
        <w:jc w:val="both"/>
        <w:rPr>
          <w:rFonts w:ascii="Tahoma" w:hAnsi="Tahoma"/>
          <w:color w:val="000000"/>
        </w:rPr>
      </w:pPr>
    </w:p>
    <w:p w14:paraId="6205A53D" w14:textId="77777777" w:rsidR="00C11BE6" w:rsidRDefault="009C6F94">
      <w:pPr>
        <w:spacing w:after="200" w:line="240" w:lineRule="auto"/>
        <w:ind w:left="360"/>
        <w:contextualSpacing/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XIV ISTOTNE WARUNKI ZAMÓWIENIA</w:t>
      </w:r>
    </w:p>
    <w:p w14:paraId="0DA0F778" w14:textId="77777777" w:rsidR="00C11BE6" w:rsidRDefault="009C6F94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Kryterium oceny ofert będzie cena – 100%</w:t>
      </w:r>
    </w:p>
    <w:p w14:paraId="7342760E" w14:textId="77777777" w:rsidR="00C11BE6" w:rsidRDefault="009C6F94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Cena określona w ofercie powinna obejmować wszystkie koszty związane z realizacją zadania.</w:t>
      </w:r>
    </w:p>
    <w:p w14:paraId="57B7F185" w14:textId="77777777" w:rsidR="00C11BE6" w:rsidRDefault="009C6F94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Wykonawcy będą związani ofertą przez okres 60 dni roboczych. Bieg terminu związania ofertą rozpoczyna się wraz z upływem terminu składania ofert. Jeżeli Wykonawca, którego oferta została wybrana, uchyla się od zawarcia umowy, Zamawiający może wybrać ofertę najkorzystniejszą spośród pozostałych ofert bez przeprowadzania ich ponownej oceny.</w:t>
      </w:r>
    </w:p>
    <w:p w14:paraId="46B94DAA" w14:textId="77777777" w:rsidR="00C11BE6" w:rsidRDefault="009C6F94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 oraz zamieszczona zostanie na stronie internetowej Zamawiającego.</w:t>
      </w:r>
    </w:p>
    <w:p w14:paraId="4DE53E23" w14:textId="77777777" w:rsidR="00C11BE6" w:rsidRDefault="009C6F94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Zamawiający może zamknąć postępowanie bez wybrania żadnej oferty, w przypadku, gdy żadna ze złożonych ofert nie odpowiada warunkom określonym przez Zamawiającego, a także w przypadku braku środków finansowych.</w:t>
      </w:r>
    </w:p>
    <w:p w14:paraId="6E8D9436" w14:textId="77777777" w:rsidR="00C11BE6" w:rsidRDefault="009C6F94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Zamawiający może unieważnić niniejsze postępowanie na każdym etapie bez podania przyczyny.</w:t>
      </w:r>
    </w:p>
    <w:p w14:paraId="487BD11B" w14:textId="77777777" w:rsidR="00C11BE6" w:rsidRDefault="00C11BE6">
      <w:pPr>
        <w:spacing w:after="200" w:line="240" w:lineRule="auto"/>
        <w:contextualSpacing/>
        <w:jc w:val="both"/>
        <w:rPr>
          <w:rFonts w:ascii="Tahoma" w:hAnsi="Tahoma"/>
          <w:b/>
          <w:bCs/>
          <w:color w:val="000000"/>
        </w:rPr>
      </w:pPr>
    </w:p>
    <w:p w14:paraId="5111CB74" w14:textId="77777777" w:rsidR="00C11BE6" w:rsidRDefault="009C6F94">
      <w:pPr>
        <w:spacing w:after="200" w:line="240" w:lineRule="auto"/>
        <w:contextualSpacing/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XV ZAŁĄCZNIKI</w:t>
      </w:r>
    </w:p>
    <w:p w14:paraId="32B70865" w14:textId="77777777" w:rsidR="00C11BE6" w:rsidRDefault="009C6F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Załącznik nr 1 – wzór formularza ofertowego</w:t>
      </w:r>
    </w:p>
    <w:p w14:paraId="32C9C9B5" w14:textId="77777777" w:rsidR="00C11BE6" w:rsidRDefault="009C6F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Załącznik nr 2 – oświadczenie o spełnieniu warunków udziału w postępowaniu</w:t>
      </w:r>
    </w:p>
    <w:p w14:paraId="024BF561" w14:textId="77777777" w:rsidR="00C11BE6" w:rsidRDefault="009C6F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Załącznik nr 3 – wykaz zrealizowanych usług</w:t>
      </w:r>
    </w:p>
    <w:p w14:paraId="37114ECC" w14:textId="77777777" w:rsidR="00C11BE6" w:rsidRDefault="009C6F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>Załącznik nr 4 – klauzula informacyjna w sprawie ochrony danych osobowych</w:t>
      </w:r>
    </w:p>
    <w:p w14:paraId="2E08C9AB" w14:textId="77777777" w:rsidR="00C11BE6" w:rsidRDefault="00C11BE6">
      <w:pPr>
        <w:spacing w:before="150" w:after="150" w:line="240" w:lineRule="auto"/>
        <w:rPr>
          <w:rFonts w:ascii="Tahoma" w:eastAsia="Times New Roman" w:hAnsi="Tahoma" w:cs="Times New Roman"/>
          <w:lang w:eastAsia="pl-PL"/>
        </w:rPr>
      </w:pPr>
    </w:p>
    <w:p w14:paraId="222D82A2" w14:textId="77777777" w:rsidR="00C11BE6" w:rsidRDefault="00C11BE6">
      <w:pPr>
        <w:spacing w:before="150" w:after="150" w:line="240" w:lineRule="auto"/>
      </w:pPr>
    </w:p>
    <w:sectPr w:rsidR="00C11BE6">
      <w:footerReference w:type="default" r:id="rId10"/>
      <w:pgSz w:w="11906" w:h="16838"/>
      <w:pgMar w:top="1417" w:right="1417" w:bottom="196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DD86" w14:textId="77777777" w:rsidR="00A74636" w:rsidRDefault="00A74636">
      <w:pPr>
        <w:spacing w:after="0" w:line="240" w:lineRule="auto"/>
      </w:pPr>
      <w:r>
        <w:separator/>
      </w:r>
    </w:p>
  </w:endnote>
  <w:endnote w:type="continuationSeparator" w:id="0">
    <w:p w14:paraId="303CFF63" w14:textId="77777777" w:rsidR="00A74636" w:rsidRDefault="00A7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8617" w14:textId="77777777" w:rsidR="00C11BE6" w:rsidRDefault="009C6F9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122C" w14:textId="77777777" w:rsidR="00A74636" w:rsidRDefault="00A74636">
      <w:pPr>
        <w:spacing w:after="0" w:line="240" w:lineRule="auto"/>
      </w:pPr>
      <w:r>
        <w:separator/>
      </w:r>
    </w:p>
  </w:footnote>
  <w:footnote w:type="continuationSeparator" w:id="0">
    <w:p w14:paraId="419E75E2" w14:textId="77777777" w:rsidR="00A74636" w:rsidRDefault="00A7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2D4"/>
    <w:multiLevelType w:val="multilevel"/>
    <w:tmpl w:val="20E40B9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893"/>
    <w:multiLevelType w:val="multilevel"/>
    <w:tmpl w:val="F9B41A3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F3E7D"/>
    <w:multiLevelType w:val="multilevel"/>
    <w:tmpl w:val="1E24B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9BB72B9"/>
    <w:multiLevelType w:val="multilevel"/>
    <w:tmpl w:val="D7C433D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78203E"/>
    <w:multiLevelType w:val="multilevel"/>
    <w:tmpl w:val="404298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187C0F1D"/>
    <w:multiLevelType w:val="multilevel"/>
    <w:tmpl w:val="E1D4373A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526D23"/>
    <w:multiLevelType w:val="multilevel"/>
    <w:tmpl w:val="6FB8437A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2F23BF"/>
    <w:multiLevelType w:val="multilevel"/>
    <w:tmpl w:val="2C2AB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28A44CC7"/>
    <w:multiLevelType w:val="multilevel"/>
    <w:tmpl w:val="7354DA3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B41DE8"/>
    <w:multiLevelType w:val="multilevel"/>
    <w:tmpl w:val="1B4A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31C0566B"/>
    <w:multiLevelType w:val="multilevel"/>
    <w:tmpl w:val="2714B53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2E00A86"/>
    <w:multiLevelType w:val="multilevel"/>
    <w:tmpl w:val="E1D44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7FA1E7B"/>
    <w:multiLevelType w:val="multilevel"/>
    <w:tmpl w:val="25848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96183D"/>
    <w:multiLevelType w:val="multilevel"/>
    <w:tmpl w:val="44C8290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D857DC"/>
    <w:multiLevelType w:val="multilevel"/>
    <w:tmpl w:val="B6D8247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DB4C1E"/>
    <w:multiLevelType w:val="multilevel"/>
    <w:tmpl w:val="CABAC1FC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729230B"/>
    <w:multiLevelType w:val="multilevel"/>
    <w:tmpl w:val="4EA21B8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98F2CA1"/>
    <w:multiLevelType w:val="multilevel"/>
    <w:tmpl w:val="8B6057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CE12847"/>
    <w:multiLevelType w:val="multilevel"/>
    <w:tmpl w:val="BB9611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4DF14E3B"/>
    <w:multiLevelType w:val="multilevel"/>
    <w:tmpl w:val="E9F2A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4FFB0403"/>
    <w:multiLevelType w:val="multilevel"/>
    <w:tmpl w:val="3E2A29B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5D935E7"/>
    <w:multiLevelType w:val="multilevel"/>
    <w:tmpl w:val="168077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 w15:restartNumberingAfterBreak="0">
    <w:nsid w:val="6409718E"/>
    <w:multiLevelType w:val="multilevel"/>
    <w:tmpl w:val="2438E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6E3F33BB"/>
    <w:multiLevelType w:val="multilevel"/>
    <w:tmpl w:val="8940DA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751F0412"/>
    <w:multiLevelType w:val="multilevel"/>
    <w:tmpl w:val="9F54D074"/>
    <w:lvl w:ilvl="0">
      <w:start w:val="1"/>
      <w:numFmt w:val="lowerLetter"/>
      <w:lvlText w:val="%1)"/>
      <w:lvlJc w:val="left"/>
      <w:pPr>
        <w:ind w:left="1092" w:hanging="372"/>
      </w:pPr>
      <w:rPr>
        <w:rFonts w:ascii="Tahoma" w:hAnsi="Tahoma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0"/>
  </w:num>
  <w:num w:numId="11">
    <w:abstractNumId w:val="15"/>
  </w:num>
  <w:num w:numId="12">
    <w:abstractNumId w:val="16"/>
  </w:num>
  <w:num w:numId="13">
    <w:abstractNumId w:val="10"/>
  </w:num>
  <w:num w:numId="14">
    <w:abstractNumId w:val="24"/>
  </w:num>
  <w:num w:numId="15">
    <w:abstractNumId w:val="17"/>
  </w:num>
  <w:num w:numId="16">
    <w:abstractNumId w:val="9"/>
  </w:num>
  <w:num w:numId="17">
    <w:abstractNumId w:val="21"/>
  </w:num>
  <w:num w:numId="18">
    <w:abstractNumId w:val="2"/>
  </w:num>
  <w:num w:numId="19">
    <w:abstractNumId w:val="18"/>
  </w:num>
  <w:num w:numId="20">
    <w:abstractNumId w:val="4"/>
  </w:num>
  <w:num w:numId="21">
    <w:abstractNumId w:val="22"/>
  </w:num>
  <w:num w:numId="22">
    <w:abstractNumId w:val="7"/>
  </w:num>
  <w:num w:numId="23">
    <w:abstractNumId w:val="19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6"/>
    <w:rsid w:val="0002338F"/>
    <w:rsid w:val="00043805"/>
    <w:rsid w:val="000A0F29"/>
    <w:rsid w:val="000F5EBA"/>
    <w:rsid w:val="00106BBB"/>
    <w:rsid w:val="00117431"/>
    <w:rsid w:val="0017524F"/>
    <w:rsid w:val="00286225"/>
    <w:rsid w:val="002A7209"/>
    <w:rsid w:val="00325096"/>
    <w:rsid w:val="003638A4"/>
    <w:rsid w:val="00500175"/>
    <w:rsid w:val="005068D0"/>
    <w:rsid w:val="00526F6A"/>
    <w:rsid w:val="005B196D"/>
    <w:rsid w:val="005F0B12"/>
    <w:rsid w:val="006A40DA"/>
    <w:rsid w:val="006B7D48"/>
    <w:rsid w:val="00742875"/>
    <w:rsid w:val="00762D0D"/>
    <w:rsid w:val="008345D1"/>
    <w:rsid w:val="008E1C15"/>
    <w:rsid w:val="00955A3E"/>
    <w:rsid w:val="009966D9"/>
    <w:rsid w:val="009C6F94"/>
    <w:rsid w:val="009F4D9F"/>
    <w:rsid w:val="00A74636"/>
    <w:rsid w:val="00AD1871"/>
    <w:rsid w:val="00AE0A0D"/>
    <w:rsid w:val="00AE570E"/>
    <w:rsid w:val="00AF16D9"/>
    <w:rsid w:val="00B20E36"/>
    <w:rsid w:val="00B66768"/>
    <w:rsid w:val="00BF6502"/>
    <w:rsid w:val="00C11BE6"/>
    <w:rsid w:val="00C35C90"/>
    <w:rsid w:val="00CB3F2C"/>
    <w:rsid w:val="00CB5D8F"/>
    <w:rsid w:val="00E30E33"/>
    <w:rsid w:val="00EF5EDC"/>
    <w:rsid w:val="00F26420"/>
    <w:rsid w:val="00F33FC4"/>
    <w:rsid w:val="00F51190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7025"/>
  <w15:docId w15:val="{15AEC5E8-1C95-4ECD-A878-F0A587F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g-binding">
    <w:name w:val="ng-binding"/>
    <w:qFormat/>
  </w:style>
  <w:style w:type="character" w:customStyle="1" w:styleId="WW8Num12z0">
    <w:name w:val="WW8Num12z0"/>
    <w:qFormat/>
    <w:rPr>
      <w:rFonts w:ascii="Tahoma" w:hAnsi="Tahoma" w:cs="Tahoma"/>
      <w:sz w:val="22"/>
      <w:szCs w:val="22"/>
      <w:lang w:eastAsia="en-US"/>
    </w:rPr>
  </w:style>
  <w:style w:type="character" w:customStyle="1" w:styleId="WW8Num15z0">
    <w:name w:val="WW8Num15z0"/>
    <w:qFormat/>
    <w:rPr>
      <w:rFonts w:cs="Tahoma"/>
      <w:b w:val="0"/>
      <w:bCs w:val="0"/>
    </w:rPr>
  </w:style>
  <w:style w:type="character" w:customStyle="1" w:styleId="WW8Num4z0">
    <w:name w:val="WW8Num4z0"/>
    <w:qFormat/>
    <w:rPr>
      <w:rFonts w:cs="Tahoma"/>
    </w:rPr>
  </w:style>
  <w:style w:type="character" w:customStyle="1" w:styleId="WW8Num14z0">
    <w:name w:val="WW8Num14z0"/>
    <w:qFormat/>
    <w:rPr>
      <w:rFonts w:cs="Tahoma"/>
    </w:rPr>
  </w:style>
  <w:style w:type="character" w:customStyle="1" w:styleId="WW8Num7z0">
    <w:name w:val="WW8Num7z0"/>
    <w:qFormat/>
    <w:rPr>
      <w:rFonts w:ascii="Tahoma" w:hAnsi="Tahoma" w:cs="Tahoma"/>
      <w:sz w:val="22"/>
      <w:szCs w:val="22"/>
    </w:rPr>
  </w:style>
  <w:style w:type="character" w:customStyle="1" w:styleId="WW8Num9z0">
    <w:name w:val="WW8Num9z0"/>
    <w:qFormat/>
    <w:rPr>
      <w:rFonts w:cs="Tahoma"/>
      <w:color w:val="000000"/>
    </w:rPr>
  </w:style>
  <w:style w:type="character" w:customStyle="1" w:styleId="WW8Num11z0">
    <w:name w:val="WW8Num11z0"/>
    <w:qFormat/>
    <w:rPr>
      <w:rFonts w:ascii="Tahoma" w:hAnsi="Tahoma" w:cs="Tahoma"/>
      <w:color w:val="000000"/>
      <w:sz w:val="22"/>
      <w:szCs w:val="22"/>
      <w:lang w:eastAsia="en-US"/>
    </w:rPr>
  </w:style>
  <w:style w:type="character" w:customStyle="1" w:styleId="WW8Num10z0">
    <w:name w:val="WW8Num10z0"/>
    <w:qFormat/>
    <w:rPr>
      <w:rFonts w:ascii="Tahoma" w:hAnsi="Tahoma" w:cs="Tahoma"/>
      <w:sz w:val="22"/>
      <w:szCs w:val="22"/>
      <w:lang w:eastAsia="en-US"/>
    </w:rPr>
  </w:style>
  <w:style w:type="character" w:customStyle="1" w:styleId="WW8Num2z0">
    <w:name w:val="WW8Num2z0"/>
    <w:qFormat/>
    <w:rPr>
      <w:rFonts w:ascii="Tahoma" w:hAnsi="Tahoma" w:cs="Tahoma"/>
      <w:color w:val="000000"/>
      <w:sz w:val="22"/>
      <w:szCs w:val="22"/>
      <w:lang w:eastAsia="en-US"/>
    </w:rPr>
  </w:style>
  <w:style w:type="character" w:customStyle="1" w:styleId="WW8Num13z0">
    <w:name w:val="WW8Num13z0"/>
    <w:qFormat/>
    <w:rPr>
      <w:rFonts w:ascii="Tahoma" w:hAnsi="Tahoma" w:cs="Tahoma"/>
      <w:sz w:val="22"/>
      <w:szCs w:val="22"/>
      <w:lang w:eastAsia="en-US"/>
    </w:rPr>
  </w:style>
  <w:style w:type="character" w:customStyle="1" w:styleId="WW8Num6z0">
    <w:name w:val="WW8Num6z0"/>
    <w:qFormat/>
    <w:rPr>
      <w:rFonts w:cs="Tahoma"/>
      <w:b w:val="0"/>
      <w:bCs/>
    </w:rPr>
  </w:style>
  <w:style w:type="character" w:customStyle="1" w:styleId="WW8Num16z0">
    <w:name w:val="WW8Num16z0"/>
    <w:qFormat/>
    <w:rPr>
      <w:rFonts w:cs="Tahoma"/>
      <w:b w:val="0"/>
      <w:bCs w:val="0"/>
    </w:rPr>
  </w:style>
  <w:style w:type="character" w:customStyle="1" w:styleId="WW8Num5z0">
    <w:name w:val="WW8Num5z0"/>
    <w:qFormat/>
    <w:rPr>
      <w:rFonts w:ascii="Tahoma" w:hAnsi="Tahoma" w:cs="Tahoma"/>
      <w:b w:val="0"/>
      <w:bCs/>
      <w:sz w:val="22"/>
      <w:szCs w:val="22"/>
      <w:highlight w:val="yellow"/>
    </w:rPr>
  </w:style>
  <w:style w:type="character" w:customStyle="1" w:styleId="Znakinumeracji">
    <w:name w:val="Znaki numeracji"/>
    <w:qFormat/>
    <w:rPr>
      <w:rFonts w:ascii="Tahoma" w:hAnsi="Tahoma"/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qFormat/>
    <w:pPr>
      <w:spacing w:after="120"/>
    </w:pPr>
  </w:style>
  <w:style w:type="paragraph" w:customStyle="1" w:styleId="Zawartotabeli">
    <w:name w:val="Zawartość tabeli"/>
    <w:basedOn w:val="Obszartekstu"/>
    <w:qFormat/>
  </w:style>
  <w:style w:type="paragraph" w:customStyle="1" w:styleId="Tytutabeli">
    <w:name w:val="Tytuł tabeli"/>
    <w:basedOn w:val="Zawartotabeli"/>
    <w:qFormat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numbering" w:customStyle="1" w:styleId="WW8Num12">
    <w:name w:val="WW8Num12"/>
    <w:qFormat/>
  </w:style>
  <w:style w:type="numbering" w:customStyle="1" w:styleId="WW8Num15">
    <w:name w:val="WW8Num15"/>
    <w:qFormat/>
  </w:style>
  <w:style w:type="numbering" w:customStyle="1" w:styleId="WW8Num4">
    <w:name w:val="WW8Num4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numbering" w:customStyle="1" w:styleId="WW8Num6">
    <w:name w:val="WW8Num6"/>
    <w:qFormat/>
  </w:style>
  <w:style w:type="numbering" w:customStyle="1" w:styleId="WW8Num16">
    <w:name w:val="WW8Num16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175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24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70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helmi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helm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wesolowski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Arczyński</dc:creator>
  <dc:description/>
  <cp:lastModifiedBy>user</cp:lastModifiedBy>
  <cp:revision>35</cp:revision>
  <cp:lastPrinted>2021-03-22T10:57:00Z</cp:lastPrinted>
  <dcterms:created xsi:type="dcterms:W3CDTF">2021-04-16T12:08:00Z</dcterms:created>
  <dcterms:modified xsi:type="dcterms:W3CDTF">2021-08-27T07:05:00Z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