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44" w:rsidRPr="00593F2B" w:rsidRDefault="00965CA1" w:rsidP="00593F2B">
      <w:pPr>
        <w:pStyle w:val="Standard"/>
        <w:spacing w:after="0" w:line="360" w:lineRule="auto"/>
        <w:rPr>
          <w:rFonts w:asciiTheme="minorHAnsi" w:eastAsia="Times New Roman" w:hAnsiTheme="minorHAnsi" w:cstheme="minorHAnsi"/>
          <w:b/>
          <w:spacing w:val="20"/>
          <w:lang w:eastAsia="pl-PL"/>
        </w:rPr>
      </w:pPr>
      <w:r w:rsidRPr="00593F2B">
        <w:rPr>
          <w:rFonts w:asciiTheme="minorHAnsi" w:eastAsia="Times New Roman" w:hAnsiTheme="minorHAnsi" w:cstheme="minorHAnsi"/>
          <w:b/>
          <w:spacing w:val="20"/>
          <w:lang w:eastAsia="pl-PL"/>
        </w:rPr>
        <w:t>INFORMACJA O WYBORZE OFERTY</w:t>
      </w:r>
    </w:p>
    <w:p w:rsidR="00FF6344" w:rsidRPr="00593F2B" w:rsidRDefault="00FF6344" w:rsidP="00593F2B">
      <w:pPr>
        <w:pStyle w:val="Standard"/>
        <w:spacing w:after="0" w:line="360" w:lineRule="auto"/>
        <w:rPr>
          <w:rFonts w:asciiTheme="minorHAnsi" w:eastAsia="Times New Roman" w:hAnsiTheme="minorHAnsi" w:cstheme="minorHAnsi"/>
          <w:b/>
          <w:spacing w:val="20"/>
          <w:lang w:eastAsia="pl-PL"/>
        </w:rPr>
      </w:pPr>
      <w:bookmarkStart w:id="0" w:name="Bookmark"/>
    </w:p>
    <w:p w:rsidR="00FF6344" w:rsidRPr="00593F2B" w:rsidRDefault="00965CA1" w:rsidP="00593F2B">
      <w:pPr>
        <w:pStyle w:val="Standard"/>
        <w:spacing w:after="0" w:line="360" w:lineRule="auto"/>
        <w:rPr>
          <w:rFonts w:asciiTheme="minorHAnsi" w:hAnsiTheme="minorHAnsi" w:cstheme="minorHAnsi"/>
          <w:spacing w:val="20"/>
        </w:rPr>
      </w:pPr>
      <w:r w:rsidRPr="00593F2B">
        <w:rPr>
          <w:rFonts w:asciiTheme="minorHAnsi" w:hAnsiTheme="minorHAnsi" w:cstheme="minorHAnsi"/>
          <w:b/>
          <w:spacing w:val="20"/>
        </w:rPr>
        <w:t>Dotyczy</w:t>
      </w:r>
      <w:r w:rsidRPr="00593F2B">
        <w:rPr>
          <w:rFonts w:asciiTheme="minorHAnsi" w:hAnsiTheme="minorHAnsi" w:cstheme="minorHAnsi"/>
          <w:spacing w:val="20"/>
        </w:rPr>
        <w:t xml:space="preserve">: postępowania o udzielenie zamówienia publicznego prowadzonego w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trybie podstawowym bez negocjacji na podstawie art. 275 pkt 1 ustawy </w:t>
      </w:r>
      <w:r w:rsidR="00593F2B">
        <w:rPr>
          <w:rFonts w:asciiTheme="minorHAnsi" w:eastAsia="Times New Roman" w:hAnsiTheme="minorHAnsi" w:cstheme="minorHAnsi"/>
          <w:spacing w:val="20"/>
          <w:lang w:eastAsia="pl-PL"/>
        </w:rPr>
        <w:br/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z dnia 11 września 2019 r. Prawo zamówień publicznych (</w:t>
      </w:r>
      <w:proofErr w:type="spellStart"/>
      <w:r w:rsidRPr="00593F2B">
        <w:rPr>
          <w:rFonts w:asciiTheme="minorHAnsi" w:eastAsia="Calibri" w:hAnsiTheme="minorHAnsi" w:cstheme="minorHAnsi"/>
          <w:color w:val="000000"/>
          <w:spacing w:val="20"/>
        </w:rPr>
        <w:t>t.j</w:t>
      </w:r>
      <w:proofErr w:type="spellEnd"/>
      <w:r w:rsidRPr="00593F2B">
        <w:rPr>
          <w:rFonts w:asciiTheme="minorHAnsi" w:eastAsia="Calibri" w:hAnsiTheme="minorHAnsi" w:cstheme="minorHAnsi"/>
          <w:color w:val="000000"/>
          <w:spacing w:val="20"/>
        </w:rPr>
        <w:t>. Dz. U. 2023 r. poz. 1605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)</w:t>
      </w:r>
      <w:r w:rsidRPr="00593F2B">
        <w:rPr>
          <w:rFonts w:asciiTheme="minorHAnsi" w:hAnsiTheme="minorHAnsi" w:cstheme="minorHAnsi"/>
          <w:spacing w:val="20"/>
        </w:rPr>
        <w:t xml:space="preserve">,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zw. dalej </w:t>
      </w:r>
      <w:proofErr w:type="spellStart"/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upzp</w:t>
      </w:r>
      <w:proofErr w:type="spellEnd"/>
      <w:r w:rsidRPr="00593F2B">
        <w:rPr>
          <w:rFonts w:asciiTheme="minorHAnsi" w:hAnsiTheme="minorHAnsi" w:cstheme="minorHAnsi"/>
          <w:spacing w:val="20"/>
        </w:rPr>
        <w:t xml:space="preserve"> na zadanie pn. </w:t>
      </w:r>
      <w:r w:rsidRPr="00593F2B">
        <w:rPr>
          <w:rFonts w:asciiTheme="minorHAnsi" w:hAnsiTheme="minorHAnsi" w:cstheme="minorHAnsi"/>
          <w:iCs/>
          <w:spacing w:val="20"/>
        </w:rPr>
        <w:t>„</w:t>
      </w:r>
      <w:r w:rsidR="00593F2B">
        <w:rPr>
          <w:rFonts w:asciiTheme="minorHAnsi" w:hAnsiTheme="minorHAnsi" w:cstheme="minorHAnsi"/>
          <w:b/>
          <w:bCs/>
          <w:iCs/>
          <w:spacing w:val="20"/>
        </w:rPr>
        <w:t xml:space="preserve">Remont </w:t>
      </w:r>
      <w:r w:rsidRPr="00593F2B">
        <w:rPr>
          <w:rFonts w:asciiTheme="minorHAnsi" w:hAnsiTheme="minorHAnsi" w:cstheme="minorHAnsi"/>
          <w:b/>
          <w:bCs/>
          <w:iCs/>
          <w:spacing w:val="20"/>
        </w:rPr>
        <w:t xml:space="preserve">i przebudowa budynków Kamienicy Oleśnickich i Oficyny”.  </w:t>
      </w:r>
      <w:bookmarkEnd w:id="0"/>
    </w:p>
    <w:p w:rsidR="00FF6344" w:rsidRPr="00593F2B" w:rsidRDefault="00FF6344" w:rsidP="00593F2B">
      <w:pPr>
        <w:pStyle w:val="Standard"/>
        <w:spacing w:after="0" w:line="360" w:lineRule="auto"/>
        <w:ind w:firstLine="708"/>
        <w:rPr>
          <w:rFonts w:asciiTheme="minorHAnsi" w:hAnsiTheme="minorHAnsi" w:cstheme="minorHAnsi"/>
          <w:b/>
          <w:bCs/>
          <w:iCs/>
          <w:spacing w:val="20"/>
        </w:rPr>
      </w:pPr>
    </w:p>
    <w:p w:rsidR="00FF6344" w:rsidRPr="00593F2B" w:rsidRDefault="00965CA1" w:rsidP="00593F2B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  <w:r w:rsidRPr="00593F2B">
        <w:rPr>
          <w:rFonts w:asciiTheme="minorHAnsi" w:hAnsiTheme="minorHAnsi" w:cstheme="minorHAnsi"/>
          <w:spacing w:val="20"/>
        </w:rPr>
        <w:t xml:space="preserve">Zamawiający - Gmina Sandomierz działając na podstawie art. 253 ust. 2 </w:t>
      </w:r>
      <w:proofErr w:type="spellStart"/>
      <w:r w:rsidRPr="00593F2B">
        <w:rPr>
          <w:rFonts w:asciiTheme="minorHAnsi" w:hAnsiTheme="minorHAnsi" w:cstheme="minorHAnsi"/>
          <w:spacing w:val="20"/>
        </w:rPr>
        <w:t>upzp</w:t>
      </w:r>
      <w:proofErr w:type="spellEnd"/>
      <w:r w:rsidRPr="00593F2B">
        <w:rPr>
          <w:rFonts w:asciiTheme="minorHAnsi" w:hAnsiTheme="minorHAnsi" w:cstheme="minorHAnsi"/>
          <w:spacing w:val="20"/>
        </w:rPr>
        <w:t xml:space="preserve"> informuje,  </w:t>
      </w:r>
      <w:r w:rsidR="00E664AC"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iż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w postępowaniu jw. </w:t>
      </w:r>
      <w:r w:rsidRPr="00593F2B">
        <w:rPr>
          <w:rFonts w:asciiTheme="minorHAnsi" w:eastAsia="Andale Sans UI" w:hAnsiTheme="minorHAnsi" w:cstheme="minorHAnsi"/>
          <w:spacing w:val="20"/>
        </w:rPr>
        <w:t>wybrał ofertę złożoną przez konsorcjum firm tj.:</w:t>
      </w:r>
      <w:r w:rsidRPr="00593F2B">
        <w:rPr>
          <w:rFonts w:asciiTheme="minorHAnsi" w:hAnsiTheme="minorHAnsi" w:cstheme="minorHAnsi"/>
          <w:spacing w:val="20"/>
        </w:rPr>
        <w:t xml:space="preserve"> l</w:t>
      </w:r>
      <w:r w:rsid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ider konsorcjum: KALDO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Sp. z o.o., ul. Holownicza 12, 27-600 Sandomierz, c</w:t>
      </w:r>
      <w:r w:rsid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złonek konsorcjum: </w:t>
      </w:r>
      <w:proofErr w:type="spellStart"/>
      <w:r w:rsidR="00593F2B">
        <w:rPr>
          <w:rFonts w:asciiTheme="minorHAnsi" w:eastAsia="Times New Roman" w:hAnsiTheme="minorHAnsi" w:cstheme="minorHAnsi"/>
          <w:spacing w:val="20"/>
          <w:lang w:eastAsia="pl-PL"/>
        </w:rPr>
        <w:t>Ejsak</w:t>
      </w:r>
      <w:proofErr w:type="spellEnd"/>
      <w:r w:rsid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 </w:t>
      </w:r>
      <w:proofErr w:type="spellStart"/>
      <w:r w:rsidR="00593F2B">
        <w:rPr>
          <w:rFonts w:asciiTheme="minorHAnsi" w:eastAsia="Times New Roman" w:hAnsiTheme="minorHAnsi" w:cstheme="minorHAnsi"/>
          <w:spacing w:val="20"/>
          <w:lang w:eastAsia="pl-PL"/>
        </w:rPr>
        <w:t>Group</w:t>
      </w:r>
      <w:proofErr w:type="spellEnd"/>
      <w:r w:rsid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Sp. z o.o., ul. Polna 7a, 05-090 Raszyn. </w:t>
      </w:r>
      <w:bookmarkStart w:id="1" w:name="Bookmark1"/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Oferta spełnia wsz</w:t>
      </w:r>
      <w:r w:rsid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ystkie wymogi SWZ, jest zgodna </w:t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z przepisami - </w:t>
      </w:r>
      <w:proofErr w:type="spellStart"/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upzp</w:t>
      </w:r>
      <w:proofErr w:type="spellEnd"/>
      <w:r w:rsidRPr="00593F2B">
        <w:rPr>
          <w:rFonts w:asciiTheme="minorHAnsi" w:eastAsia="Times New Roman" w:hAnsiTheme="minorHAnsi" w:cstheme="minorHAnsi"/>
          <w:spacing w:val="20"/>
          <w:lang w:eastAsia="pl-PL"/>
        </w:rPr>
        <w:t xml:space="preserve">, nie podlega odrzuceniu oraz uzyskała najwyższą liczbę punktów </w:t>
      </w:r>
      <w:r w:rsidR="00593F2B">
        <w:rPr>
          <w:rFonts w:asciiTheme="minorHAnsi" w:eastAsia="Times New Roman" w:hAnsiTheme="minorHAnsi" w:cstheme="minorHAnsi"/>
          <w:spacing w:val="20"/>
          <w:lang w:eastAsia="pl-PL"/>
        </w:rPr>
        <w:br/>
      </w:r>
      <w:r w:rsidRPr="00593F2B">
        <w:rPr>
          <w:rFonts w:asciiTheme="minorHAnsi" w:eastAsia="Times New Roman" w:hAnsiTheme="minorHAnsi" w:cstheme="minorHAnsi"/>
          <w:spacing w:val="20"/>
          <w:lang w:eastAsia="pl-PL"/>
        </w:rPr>
        <w:t>tj. 89 pkt na podstawie kryteriów oceny ofert zastosowanych w tym postępowaniu: cena (waga kryterium 60% ) wydłużenie okresu gwarancji (waga kryterium 10%) oraz ocena próbki (waga kryterium 30%).</w:t>
      </w:r>
      <w:bookmarkEnd w:id="1"/>
    </w:p>
    <w:p w:rsidR="00FF6344" w:rsidRPr="00593F2B" w:rsidRDefault="00965CA1" w:rsidP="00593F2B">
      <w:pPr>
        <w:pStyle w:val="Standard"/>
        <w:spacing w:after="0" w:line="360" w:lineRule="auto"/>
        <w:rPr>
          <w:rFonts w:asciiTheme="minorHAnsi" w:eastAsia="Calibri" w:hAnsiTheme="minorHAnsi" w:cstheme="minorHAnsi"/>
          <w:b/>
          <w:spacing w:val="20"/>
          <w:lang w:eastAsia="pl-PL"/>
        </w:rPr>
      </w:pPr>
      <w:r w:rsidRPr="00593F2B">
        <w:rPr>
          <w:rFonts w:asciiTheme="minorHAnsi" w:eastAsia="Calibri" w:hAnsiTheme="minorHAnsi" w:cstheme="minorHAnsi"/>
          <w:b/>
          <w:spacing w:val="20"/>
          <w:lang w:eastAsia="pl-PL"/>
        </w:rPr>
        <w:t>Punktacja wg. poniższej tabeli.</w:t>
      </w:r>
    </w:p>
    <w:tbl>
      <w:tblPr>
        <w:tblW w:w="10368" w:type="dxa"/>
        <w:tblInd w:w="-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2835"/>
        <w:gridCol w:w="1468"/>
        <w:gridCol w:w="1508"/>
        <w:gridCol w:w="1526"/>
        <w:gridCol w:w="2018"/>
      </w:tblGrid>
      <w:tr w:rsidR="00FF6344" w:rsidRPr="00593F2B" w:rsidTr="00F62DE4">
        <w:trPr>
          <w:tblHeader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Nazwa i adres wykonawcy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Kryterium ceny ( 60% 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Kryterium okresu gwarancji ( 10% )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Kryterium  próbki (30%)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/>
                <w:spacing w:val="20"/>
              </w:rPr>
              <w:t>Punktacja ogółem</w:t>
            </w:r>
          </w:p>
        </w:tc>
      </w:tr>
      <w:tr w:rsidR="00FF6344" w:rsidRPr="00593F2B" w:rsidTr="00F62DE4"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965CA1" w:rsidP="00F62DE4">
            <w:pPr>
              <w:pStyle w:val="Standard"/>
              <w:spacing w:after="0" w:line="360" w:lineRule="auto"/>
              <w:jc w:val="right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Konsorcjum firm tj.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Lider konsorcjum: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KALDO Sp. z o.o.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ul. Holownicza 12,</w:t>
            </w: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br/>
              <w:t>27-600 Sandomierz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Członek konsorcjum: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proofErr w:type="spellStart"/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Ejsak</w:t>
            </w:r>
            <w:proofErr w:type="spellEnd"/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 xml:space="preserve"> </w:t>
            </w:r>
            <w:proofErr w:type="spellStart"/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Group</w:t>
            </w:r>
            <w:proofErr w:type="spellEnd"/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 xml:space="preserve"> Sp. z o.o.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hAnsiTheme="minorHAnsi" w:cstheme="minorHAnsi"/>
                <w:spacing w:val="20"/>
                <w:lang w:eastAsia="en-US"/>
              </w:rPr>
              <w:t>ul. Polna 7a, 05-090 Raszyn</w:t>
            </w:r>
            <w:bookmarkStart w:id="2" w:name="_GoBack"/>
            <w:bookmarkEnd w:id="2"/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60  pkt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10 pkt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19 pkt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tabs>
                <w:tab w:val="left" w:pos="10875"/>
              </w:tabs>
              <w:spacing w:after="0" w:line="360" w:lineRule="auto"/>
              <w:ind w:left="102" w:right="494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89 pkt</w:t>
            </w:r>
          </w:p>
        </w:tc>
      </w:tr>
      <w:tr w:rsidR="00FF6344" w:rsidRPr="00593F2B" w:rsidTr="00F62DE4"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FF6344" w:rsidP="00F62DE4">
            <w:pPr>
              <w:pStyle w:val="Standard"/>
              <w:spacing w:after="0" w:line="360" w:lineRule="auto"/>
              <w:jc w:val="right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965CA1" w:rsidP="00F62DE4">
            <w:pPr>
              <w:pStyle w:val="Standard"/>
              <w:spacing w:after="0" w:line="360" w:lineRule="auto"/>
              <w:jc w:val="right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HARMONIS SP. Z O.O.</w:t>
            </w: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ul. Wierchy 12, Gliczarów Górny,</w:t>
            </w:r>
            <w:r w:rsidR="003B3F33" w:rsidRPr="00593F2B">
              <w:rPr>
                <w:rFonts w:asciiTheme="minorHAnsi" w:eastAsia="Andale Sans UI" w:hAnsiTheme="minorHAnsi" w:cstheme="minorHAnsi"/>
                <w:spacing w:val="20"/>
              </w:rPr>
              <w:t xml:space="preserve"> </w:t>
            </w:r>
            <w:r w:rsidR="003811E8">
              <w:rPr>
                <w:rFonts w:asciiTheme="minorHAnsi" w:eastAsia="Andale Sans UI" w:hAnsiTheme="minorHAnsi" w:cstheme="minorHAnsi"/>
                <w:spacing w:val="20"/>
              </w:rPr>
              <w:br/>
            </w:r>
            <w:r w:rsidRPr="00593F2B">
              <w:rPr>
                <w:rFonts w:asciiTheme="minorHAnsi" w:eastAsia="Andale Sans UI" w:hAnsiTheme="minorHAnsi" w:cstheme="minorHAnsi"/>
                <w:spacing w:val="20"/>
              </w:rPr>
              <w:t>34-425 Biały Dunajec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t xml:space="preserve">Oferta nie była oceniona </w:t>
            </w: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br/>
            </w:r>
          </w:p>
        </w:tc>
      </w:tr>
      <w:tr w:rsidR="00FF6344" w:rsidRPr="00593F2B" w:rsidTr="00F62DE4">
        <w:trPr>
          <w:trHeight w:val="394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FF6344" w:rsidP="00F62DE4">
            <w:pPr>
              <w:pStyle w:val="Standard"/>
              <w:spacing w:after="0" w:line="360" w:lineRule="auto"/>
              <w:jc w:val="right"/>
              <w:rPr>
                <w:rFonts w:asciiTheme="minorHAnsi" w:eastAsia="Andale Sans UI" w:hAnsiTheme="minorHAnsi" w:cstheme="minorHAnsi"/>
                <w:spacing w:val="20"/>
              </w:rPr>
            </w:pPr>
          </w:p>
          <w:p w:rsidR="00FF6344" w:rsidRPr="00593F2B" w:rsidRDefault="00965CA1" w:rsidP="00F62DE4">
            <w:pPr>
              <w:pStyle w:val="Standard"/>
              <w:spacing w:after="0" w:line="360" w:lineRule="auto"/>
              <w:jc w:val="right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  <w:lang w:eastAsia="en-US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  <w:lang w:eastAsia="en-US"/>
              </w:rPr>
              <w:t xml:space="preserve">Korporacja Budowlana „DARCO” Dariusz Żak, </w:t>
            </w:r>
            <w:r w:rsidRPr="00593F2B">
              <w:rPr>
                <w:rFonts w:asciiTheme="minorHAnsi" w:eastAsia="Andale Sans UI" w:hAnsiTheme="minorHAnsi" w:cstheme="minorHAnsi"/>
                <w:spacing w:val="20"/>
                <w:lang w:eastAsia="en-US"/>
              </w:rPr>
              <w:br/>
              <w:t xml:space="preserve">ul. Garbarska 53, </w:t>
            </w:r>
            <w:r w:rsidRPr="00593F2B">
              <w:rPr>
                <w:rFonts w:asciiTheme="minorHAnsi" w:eastAsia="Andale Sans UI" w:hAnsiTheme="minorHAnsi" w:cstheme="minorHAnsi"/>
                <w:spacing w:val="20"/>
                <w:lang w:eastAsia="en-US"/>
              </w:rPr>
              <w:br/>
              <w:t>26-600 Radom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spacing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44" w:rsidRPr="00593F2B" w:rsidRDefault="00FF6344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</w:p>
          <w:p w:rsidR="00FF6344" w:rsidRPr="00593F2B" w:rsidRDefault="00965CA1" w:rsidP="00593F2B">
            <w:pPr>
              <w:pStyle w:val="Standard"/>
              <w:spacing w:after="0" w:line="360" w:lineRule="auto"/>
              <w:rPr>
                <w:rFonts w:asciiTheme="minorHAnsi" w:eastAsia="Andale Sans UI" w:hAnsiTheme="minorHAnsi" w:cstheme="minorHAnsi"/>
                <w:bCs/>
                <w:spacing w:val="20"/>
              </w:rPr>
            </w:pP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t xml:space="preserve">Oferta nie była oceniona </w:t>
            </w:r>
            <w:r w:rsidRPr="00593F2B">
              <w:rPr>
                <w:rFonts w:asciiTheme="minorHAnsi" w:eastAsia="Andale Sans UI" w:hAnsiTheme="minorHAnsi" w:cstheme="minorHAnsi"/>
                <w:bCs/>
                <w:spacing w:val="20"/>
              </w:rPr>
              <w:br/>
            </w:r>
          </w:p>
        </w:tc>
      </w:tr>
    </w:tbl>
    <w:p w:rsidR="00FF6344" w:rsidRPr="00593F2B" w:rsidRDefault="00965CA1" w:rsidP="00593F2B">
      <w:pPr>
        <w:pStyle w:val="Standard"/>
        <w:spacing w:after="0" w:line="360" w:lineRule="auto"/>
        <w:rPr>
          <w:rFonts w:asciiTheme="minorHAnsi" w:eastAsia="Calibri" w:hAnsiTheme="minorHAnsi" w:cstheme="minorHAnsi"/>
          <w:b/>
          <w:spacing w:val="20"/>
        </w:rPr>
      </w:pPr>
      <w:r w:rsidRPr="00593F2B">
        <w:rPr>
          <w:rFonts w:asciiTheme="minorHAnsi" w:eastAsia="Calibri" w:hAnsiTheme="minorHAnsi" w:cstheme="minorHAnsi"/>
          <w:b/>
          <w:spacing w:val="20"/>
        </w:rPr>
        <w:tab/>
      </w:r>
    </w:p>
    <w:p w:rsidR="00FF6344" w:rsidRPr="00593F2B" w:rsidRDefault="00965CA1" w:rsidP="00593F2B">
      <w:pPr>
        <w:pStyle w:val="Standard"/>
        <w:spacing w:after="0" w:line="360" w:lineRule="auto"/>
        <w:rPr>
          <w:rFonts w:asciiTheme="minorHAnsi" w:hAnsiTheme="minorHAnsi" w:cstheme="minorHAnsi"/>
          <w:spacing w:val="20"/>
        </w:rPr>
      </w:pPr>
      <w:r w:rsidRPr="00593F2B">
        <w:rPr>
          <w:rFonts w:asciiTheme="minorHAnsi" w:hAnsiTheme="minorHAnsi" w:cstheme="minorHAnsi"/>
          <w:spacing w:val="20"/>
        </w:rPr>
        <w:t xml:space="preserve">Umowa dot. niniejszego postępowania zostanie zawarta w terminie </w:t>
      </w:r>
      <w:r w:rsidR="00593F2B">
        <w:rPr>
          <w:rFonts w:asciiTheme="minorHAnsi" w:hAnsiTheme="minorHAnsi" w:cstheme="minorHAnsi"/>
          <w:spacing w:val="20"/>
        </w:rPr>
        <w:br/>
      </w:r>
      <w:r w:rsidRPr="00593F2B">
        <w:rPr>
          <w:rFonts w:asciiTheme="minorHAnsi" w:hAnsiTheme="minorHAnsi" w:cstheme="minorHAnsi"/>
          <w:spacing w:val="20"/>
        </w:rPr>
        <w:t xml:space="preserve">nie krótszym niż 5 dni od przesłania Wykonawcom drogą elektroniczną zawiadomienia o wyborze najkorzystniejszej oferty </w:t>
      </w:r>
      <w:r w:rsidR="00593F2B">
        <w:rPr>
          <w:rFonts w:asciiTheme="minorHAnsi" w:hAnsiTheme="minorHAnsi" w:cstheme="minorHAnsi"/>
          <w:spacing w:val="20"/>
        </w:rPr>
        <w:t xml:space="preserve"> </w:t>
      </w:r>
      <w:r w:rsidRPr="00593F2B">
        <w:rPr>
          <w:rFonts w:asciiTheme="minorHAnsi" w:hAnsiTheme="minorHAnsi" w:cstheme="minorHAnsi"/>
          <w:spacing w:val="20"/>
        </w:rPr>
        <w:t>i  po wniesieniu zabezpieczenia należytego wykonania umowy.</w:t>
      </w:r>
    </w:p>
    <w:p w:rsidR="00FF6344" w:rsidRPr="00593F2B" w:rsidRDefault="00FF6344" w:rsidP="00593F2B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</w:p>
    <w:p w:rsidR="00FF6344" w:rsidRDefault="00FF6344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</w:p>
    <w:sectPr w:rsidR="00FF6344" w:rsidSect="00E664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7B" w:rsidRDefault="00965CA1">
      <w:pPr>
        <w:spacing w:after="0" w:line="240" w:lineRule="auto"/>
      </w:pPr>
      <w:r>
        <w:separator/>
      </w:r>
    </w:p>
  </w:endnote>
  <w:endnote w:type="continuationSeparator" w:id="0">
    <w:p w:rsidR="00D7447B" w:rsidRDefault="0096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11887"/>
      <w:docPartObj>
        <w:docPartGallery w:val="Page Numbers (Bottom of Page)"/>
        <w:docPartUnique/>
      </w:docPartObj>
    </w:sdtPr>
    <w:sdtEndPr/>
    <w:sdtContent>
      <w:p w:rsidR="00E664AC" w:rsidRDefault="00E664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E4">
          <w:rPr>
            <w:noProof/>
          </w:rPr>
          <w:t>1</w:t>
        </w:r>
        <w:r>
          <w:fldChar w:fldCharType="end"/>
        </w:r>
      </w:p>
    </w:sdtContent>
  </w:sdt>
  <w:p w:rsidR="00E664AC" w:rsidRDefault="00E66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7B" w:rsidRDefault="00965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447B" w:rsidRDefault="0096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77" w:rsidRPr="00593F2B" w:rsidRDefault="00965CA1">
    <w:pPr>
      <w:pStyle w:val="Nagwek"/>
      <w:rPr>
        <w:rFonts w:asciiTheme="minorHAnsi" w:hAnsiTheme="minorHAnsi" w:cstheme="minorHAnsi"/>
        <w:spacing w:val="20"/>
      </w:rPr>
    </w:pPr>
    <w:r w:rsidRPr="00593F2B">
      <w:rPr>
        <w:rFonts w:asciiTheme="minorHAnsi" w:hAnsiTheme="minorHAnsi" w:cstheme="minorHAnsi"/>
        <w:spacing w:val="20"/>
      </w:rPr>
      <w:t xml:space="preserve">RZP.271.1.22.2023.MZI  </w:t>
    </w:r>
    <w:r w:rsidRPr="00593F2B">
      <w:rPr>
        <w:rFonts w:asciiTheme="minorHAnsi" w:hAnsiTheme="minorHAnsi" w:cstheme="minorHAnsi"/>
        <w:spacing w:val="20"/>
      </w:rPr>
      <w:tab/>
    </w:r>
    <w:r w:rsidRPr="00593F2B">
      <w:rPr>
        <w:rFonts w:asciiTheme="minorHAnsi" w:hAnsiTheme="minorHAnsi" w:cstheme="minorHAnsi"/>
        <w:spacing w:val="20"/>
      </w:rPr>
      <w:tab/>
      <w:t>Sandomierz, 14.02.2024r.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FE2"/>
    <w:multiLevelType w:val="multilevel"/>
    <w:tmpl w:val="44E8E75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6344"/>
    <w:rsid w:val="003811E8"/>
    <w:rsid w:val="003B3F33"/>
    <w:rsid w:val="00593F2B"/>
    <w:rsid w:val="008B19EF"/>
    <w:rsid w:val="00965CA1"/>
    <w:rsid w:val="00C76EE5"/>
    <w:rsid w:val="00D7447B"/>
    <w:rsid w:val="00DB6A12"/>
    <w:rsid w:val="00E664AC"/>
    <w:rsid w:val="00F62DE4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9</cp:revision>
  <cp:lastPrinted>2024-02-14T08:46:00Z</cp:lastPrinted>
  <dcterms:created xsi:type="dcterms:W3CDTF">2024-01-16T07:35:00Z</dcterms:created>
  <dcterms:modified xsi:type="dcterms:W3CDTF">2024-02-14T10:44:00Z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