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5E69D2D4" w14:textId="074E42B8" w:rsidR="004621DE" w:rsidRPr="004621DE" w:rsidRDefault="003D0FBD" w:rsidP="004621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621DE" w:rsidRP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przedaż wraz z dostawą do siedziby trzech silników elektrycznych o mocy 200 kW o klasie energetycznej IE1 na IE4 na potrzeby OPEC-BIO Sp. z o.o. z siedzibą w Grudziądzu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8DCB559" w14:textId="77777777" w:rsidR="004621DE" w:rsidRDefault="004621DE" w:rsidP="0037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73BC1"/>
    <w:rsid w:val="0038227D"/>
    <w:rsid w:val="003A7F08"/>
    <w:rsid w:val="003D0FBD"/>
    <w:rsid w:val="004057A3"/>
    <w:rsid w:val="004621DE"/>
    <w:rsid w:val="00470D39"/>
    <w:rsid w:val="00474CA2"/>
    <w:rsid w:val="004A6263"/>
    <w:rsid w:val="005B03EC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2023-11-24T12:30:00Z</dcterms:modified>
</cp:coreProperties>
</file>