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308B54F2" w:rsidR="001B0437" w:rsidRPr="00107603" w:rsidRDefault="008015D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Zestaw mysz oraz klawiatura bezprzewodowa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20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zestawów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3ED94529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 xml:space="preserve">Cześć </w:t>
      </w:r>
      <w:r w:rsidR="00E84DD0">
        <w:rPr>
          <w:rFonts w:ascii="Arial" w:eastAsia="Times New Roman" w:hAnsi="Arial" w:cs="Arial"/>
          <w:b/>
          <w:lang w:eastAsia="pl-PL"/>
        </w:rPr>
        <w:t>V</w:t>
      </w:r>
      <w:r w:rsidR="004539D8">
        <w:rPr>
          <w:rFonts w:ascii="Arial" w:eastAsia="Times New Roman" w:hAnsi="Arial" w:cs="Arial"/>
          <w:b/>
          <w:lang w:eastAsia="pl-PL"/>
        </w:rPr>
        <w:t>I</w:t>
      </w:r>
      <w:r w:rsidR="008015DF">
        <w:rPr>
          <w:rFonts w:ascii="Arial" w:eastAsia="Times New Roman" w:hAnsi="Arial" w:cs="Arial"/>
          <w:b/>
          <w:lang w:eastAsia="pl-PL"/>
        </w:rPr>
        <w:t>I</w:t>
      </w:r>
      <w:r w:rsidRPr="00C41FEC">
        <w:rPr>
          <w:rFonts w:ascii="Arial" w:eastAsia="Times New Roman" w:hAnsi="Arial" w:cs="Arial"/>
          <w:b/>
          <w:lang w:eastAsia="pl-PL"/>
        </w:rPr>
        <w:t xml:space="preserve"> – </w:t>
      </w:r>
      <w:r w:rsidR="008015DF">
        <w:rPr>
          <w:rFonts w:ascii="Arial" w:eastAsia="Times New Roman" w:hAnsi="Arial" w:cs="Arial"/>
          <w:b/>
          <w:lang w:eastAsia="pl-PL"/>
        </w:rPr>
        <w:t>zestaw mysz oraz klawiatura bezprzewodowa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8015DF">
        <w:rPr>
          <w:rFonts w:ascii="Arial" w:eastAsia="Times New Roman" w:hAnsi="Arial" w:cs="Arial"/>
          <w:b/>
          <w:lang w:eastAsia="pl-PL"/>
        </w:rPr>
        <w:t>2</w:t>
      </w:r>
      <w:r w:rsidR="00361704">
        <w:rPr>
          <w:rFonts w:ascii="Arial" w:eastAsia="Times New Roman" w:hAnsi="Arial" w:cs="Arial"/>
          <w:b/>
          <w:lang w:eastAsia="pl-PL"/>
        </w:rPr>
        <w:t>0</w:t>
      </w:r>
      <w:r w:rsidR="0076105A">
        <w:rPr>
          <w:rFonts w:ascii="Arial" w:eastAsia="Times New Roman" w:hAnsi="Arial" w:cs="Arial"/>
          <w:b/>
          <w:lang w:eastAsia="pl-PL"/>
        </w:rPr>
        <w:t xml:space="preserve"> </w:t>
      </w:r>
      <w:r w:rsidR="008015DF">
        <w:rPr>
          <w:rFonts w:ascii="Arial" w:eastAsia="Times New Roman" w:hAnsi="Arial" w:cs="Arial"/>
          <w:b/>
          <w:lang w:eastAsia="pl-PL"/>
        </w:rPr>
        <w:t>zestawów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0AACD78E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EC43BD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6716559D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EC43BD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62777C81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5F1ED5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49F3FEFB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567D51">
      <w:rPr>
        <w:rFonts w:ascii="Arial" w:hAnsi="Arial" w:cs="Arial"/>
        <w:sz w:val="20"/>
        <w:szCs w:val="20"/>
      </w:rPr>
      <w:t>2</w:t>
    </w:r>
    <w:r w:rsidR="008015DF">
      <w:rPr>
        <w:rFonts w:ascii="Arial" w:hAnsi="Arial" w:cs="Arial"/>
        <w:sz w:val="20"/>
        <w:szCs w:val="20"/>
      </w:rPr>
      <w:t>3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1726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0D77B2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C770A"/>
    <w:rsid w:val="002D7D14"/>
    <w:rsid w:val="002E4EC6"/>
    <w:rsid w:val="00323FC7"/>
    <w:rsid w:val="00346505"/>
    <w:rsid w:val="00361704"/>
    <w:rsid w:val="00363280"/>
    <w:rsid w:val="003858FB"/>
    <w:rsid w:val="003956C8"/>
    <w:rsid w:val="003A6DED"/>
    <w:rsid w:val="003B5844"/>
    <w:rsid w:val="003B5B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51F1B"/>
    <w:rsid w:val="004539D8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67D51"/>
    <w:rsid w:val="00576031"/>
    <w:rsid w:val="005C51F4"/>
    <w:rsid w:val="005D2E5E"/>
    <w:rsid w:val="005F1ED5"/>
    <w:rsid w:val="005F6313"/>
    <w:rsid w:val="005F78E2"/>
    <w:rsid w:val="00630288"/>
    <w:rsid w:val="00637B0E"/>
    <w:rsid w:val="00641A47"/>
    <w:rsid w:val="00644FEF"/>
    <w:rsid w:val="00657D17"/>
    <w:rsid w:val="006673B5"/>
    <w:rsid w:val="006751BA"/>
    <w:rsid w:val="006B01BB"/>
    <w:rsid w:val="006C454C"/>
    <w:rsid w:val="006D2F80"/>
    <w:rsid w:val="00701DC4"/>
    <w:rsid w:val="00715E37"/>
    <w:rsid w:val="00725066"/>
    <w:rsid w:val="007260B4"/>
    <w:rsid w:val="00731686"/>
    <w:rsid w:val="00736E18"/>
    <w:rsid w:val="00743FCC"/>
    <w:rsid w:val="007607A8"/>
    <w:rsid w:val="0076105A"/>
    <w:rsid w:val="0076462C"/>
    <w:rsid w:val="00773E66"/>
    <w:rsid w:val="00782C30"/>
    <w:rsid w:val="00796DE8"/>
    <w:rsid w:val="0079740B"/>
    <w:rsid w:val="007D0570"/>
    <w:rsid w:val="007E2D24"/>
    <w:rsid w:val="007E6D7E"/>
    <w:rsid w:val="008015DF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44EE"/>
    <w:rsid w:val="009334F2"/>
    <w:rsid w:val="0095049A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AD6627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41FEC"/>
    <w:rsid w:val="00C57BF4"/>
    <w:rsid w:val="00C8223A"/>
    <w:rsid w:val="00C85DFE"/>
    <w:rsid w:val="00CB6EF5"/>
    <w:rsid w:val="00CC2151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DD579C"/>
    <w:rsid w:val="00E1651E"/>
    <w:rsid w:val="00E3434E"/>
    <w:rsid w:val="00E7352C"/>
    <w:rsid w:val="00E84DD0"/>
    <w:rsid w:val="00E97B34"/>
    <w:rsid w:val="00EC43BD"/>
    <w:rsid w:val="00ED153E"/>
    <w:rsid w:val="00F14AAE"/>
    <w:rsid w:val="00F3068C"/>
    <w:rsid w:val="00F75010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5</cp:revision>
  <cp:lastPrinted>2023-12-08T10:23:00Z</cp:lastPrinted>
  <dcterms:created xsi:type="dcterms:W3CDTF">2024-09-24T13:16:00Z</dcterms:created>
  <dcterms:modified xsi:type="dcterms:W3CDTF">2024-10-04T08:09:00Z</dcterms:modified>
</cp:coreProperties>
</file>