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1A5" w14:textId="347DA464" w:rsidR="00C67201" w:rsidRPr="009D6E57" w:rsidRDefault="008831A9" w:rsidP="009D6E57">
      <w:pPr>
        <w:jc w:val="right"/>
        <w:rPr>
          <w:rFonts w:cstheme="minorHAnsi"/>
          <w:b/>
        </w:rPr>
      </w:pPr>
      <w:r w:rsidRPr="009D6E57">
        <w:rPr>
          <w:rFonts w:cstheme="minorHAnsi"/>
          <w:b/>
          <w:bCs/>
        </w:rPr>
        <w:t xml:space="preserve"> </w:t>
      </w:r>
      <w:r w:rsidRPr="009D6E57">
        <w:rPr>
          <w:rFonts w:cstheme="minorHAnsi"/>
          <w:b/>
          <w:bCs/>
        </w:rPr>
        <w:tab/>
      </w:r>
      <w:r w:rsidR="009D6E57">
        <w:rPr>
          <w:rFonts w:cstheme="minorHAnsi"/>
          <w:b/>
          <w:bCs/>
        </w:rPr>
        <w:t xml:space="preserve">              </w:t>
      </w:r>
      <w:r w:rsidRPr="009D6E57">
        <w:rPr>
          <w:rFonts w:cstheme="minorHAnsi"/>
          <w:b/>
          <w:bCs/>
        </w:rPr>
        <w:tab/>
      </w:r>
      <w:r w:rsidRPr="009D6E57">
        <w:rPr>
          <w:rFonts w:cstheme="minorHAnsi"/>
          <w:b/>
          <w:bCs/>
        </w:rPr>
        <w:tab/>
      </w:r>
      <w:r w:rsidR="00C67201" w:rsidRPr="009D6E57">
        <w:rPr>
          <w:rFonts w:cstheme="minorHAnsi"/>
          <w:b/>
          <w:bCs/>
        </w:rPr>
        <w:t xml:space="preserve">  Załącznik nr 10 do </w:t>
      </w:r>
      <w:r w:rsidRPr="009D6E57">
        <w:rPr>
          <w:rFonts w:cstheme="minorHAnsi"/>
          <w:b/>
          <w:bCs/>
        </w:rPr>
        <w:t xml:space="preserve">wzoru </w:t>
      </w:r>
      <w:r w:rsidR="00C67201" w:rsidRPr="009D6E57">
        <w:rPr>
          <w:rFonts w:cstheme="minorHAnsi"/>
          <w:b/>
          <w:bCs/>
        </w:rPr>
        <w:t>umowy ZP/</w:t>
      </w:r>
      <w:r w:rsidR="009D6E57" w:rsidRPr="009D6E57">
        <w:rPr>
          <w:rFonts w:cstheme="minorHAnsi"/>
          <w:b/>
          <w:bCs/>
        </w:rPr>
        <w:t>114</w:t>
      </w:r>
      <w:r w:rsidR="00C67201" w:rsidRPr="009D6E57">
        <w:rPr>
          <w:rFonts w:cstheme="minorHAnsi"/>
          <w:b/>
          <w:bCs/>
        </w:rPr>
        <w:t>/</w:t>
      </w:r>
      <w:r w:rsidR="00C67201" w:rsidRPr="009D6E57">
        <w:rPr>
          <w:rFonts w:cstheme="minorHAnsi"/>
          <w:b/>
        </w:rPr>
        <w:t>202</w:t>
      </w:r>
      <w:r w:rsidR="009D6E57" w:rsidRPr="009D6E57">
        <w:rPr>
          <w:rFonts w:cstheme="minorHAnsi"/>
          <w:b/>
        </w:rPr>
        <w:t>1</w:t>
      </w:r>
      <w:r w:rsidRPr="009D6E57">
        <w:rPr>
          <w:rFonts w:cstheme="minorHAnsi"/>
          <w:b/>
        </w:rPr>
        <w:t xml:space="preserve"> </w:t>
      </w:r>
    </w:p>
    <w:p w14:paraId="0A8EE088" w14:textId="77777777" w:rsidR="001F4E91" w:rsidRDefault="001F4E91" w:rsidP="001F4E91">
      <w:pPr>
        <w:jc w:val="center"/>
        <w:rPr>
          <w:rFonts w:cstheme="minorHAnsi"/>
          <w:b/>
          <w:bCs/>
          <w:color w:val="002060"/>
          <w:sz w:val="28"/>
          <w:szCs w:val="28"/>
        </w:rPr>
      </w:pPr>
      <w:bookmarkStart w:id="0"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0"/>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End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AB01A5">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AB01A5">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AB01A5">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AB01A5">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AB01A5">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AB01A5">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AB01A5">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AB01A5">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AB01A5">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AB01A5">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AB01A5">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AB01A5">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AB01A5">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AB01A5">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AB01A5">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AB01A5">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AB01A5">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AB01A5">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AB01A5">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AB01A5">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AB01A5">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AB01A5">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AB01A5">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AB01A5">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AB01A5">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AB01A5">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AB01A5">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AB01A5">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AB01A5">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AB01A5">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AB01A5">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AB01A5">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AB01A5">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AB01A5">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AB01A5">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AB01A5">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AB01A5">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AB01A5">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AB01A5">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AB01A5">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AB01A5">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1" w:name="_Toc67930477"/>
      <w:bookmarkStart w:id="2" w:name="_Toc68183589"/>
      <w:bookmarkStart w:id="3" w:name="_Hlk67913182"/>
      <w:r w:rsidRPr="00267163">
        <w:t>Informacj</w:t>
      </w:r>
      <w:r w:rsidR="001556D4" w:rsidRPr="00267163">
        <w:t>e</w:t>
      </w:r>
      <w:r w:rsidRPr="00267163">
        <w:t xml:space="preserve"> o projekcie</w:t>
      </w:r>
      <w:bookmarkEnd w:id="1"/>
      <w:bookmarkEnd w:id="2"/>
      <w:r w:rsidRPr="00267163">
        <w:t xml:space="preserve"> </w:t>
      </w:r>
    </w:p>
    <w:p w14:paraId="2BA84BB9" w14:textId="77777777" w:rsidR="0030708B" w:rsidRDefault="00C8220D" w:rsidP="0030708B">
      <w:pPr>
        <w:pStyle w:val="Nagwek3"/>
      </w:pPr>
      <w:bookmarkStart w:id="4" w:name="_Toc68183590"/>
      <w:bookmarkEnd w:id="3"/>
      <w:r w:rsidRPr="00D5357A">
        <w:t>N</w:t>
      </w:r>
      <w:r w:rsidR="0030708B">
        <w:t>azwa projektu</w:t>
      </w:r>
      <w:bookmarkEnd w:id="4"/>
    </w:p>
    <w:p w14:paraId="726DC335" w14:textId="77777777" w:rsidR="00C8220D" w:rsidRPr="00EC55BC" w:rsidRDefault="00C8220D" w:rsidP="00EC55BC">
      <w:pPr>
        <w:jc w:val="both"/>
        <w:rPr>
          <w:rFonts w:cstheme="minorHAnsi"/>
        </w:rPr>
      </w:pPr>
      <w:r w:rsidRPr="00EC55BC">
        <w:rPr>
          <w:rFonts w:cstheme="minorHAnsi"/>
        </w:rPr>
        <w:t xml:space="preserve">Budowa </w:t>
      </w:r>
      <w:bookmarkStart w:id="5" w:name="_Hlk20211301"/>
      <w:r w:rsidRPr="00EC55BC">
        <w:rPr>
          <w:rFonts w:cstheme="minorHAnsi"/>
        </w:rPr>
        <w:t>Budynku Radioterapii w ramach Drugiego etapu budowy Centrum Kliniczno-Dydaktycznego Uniwersytetu Medycznego w Łodzi wraz z Akademickim Ośrodkiem Onkologicznym</w:t>
      </w:r>
      <w:bookmarkEnd w:id="5"/>
      <w:r w:rsidRPr="00EC55BC">
        <w:rPr>
          <w:rFonts w:cstheme="minorHAnsi"/>
        </w:rPr>
        <w:t>, z dostawami wyposażenia</w:t>
      </w:r>
    </w:p>
    <w:p w14:paraId="77E6C1A2" w14:textId="77777777" w:rsidR="0030708B" w:rsidRDefault="0030708B" w:rsidP="0030708B">
      <w:pPr>
        <w:pStyle w:val="Nagwek3"/>
      </w:pPr>
      <w:bookmarkStart w:id="6" w:name="_Toc68183591"/>
      <w:r>
        <w:t>Zamawiający</w:t>
      </w:r>
      <w:bookmarkEnd w:id="6"/>
    </w:p>
    <w:p w14:paraId="6A9F6DF1" w14:textId="77777777" w:rsidR="00C8220D"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7" w:name="_Toc68183592"/>
      <w:r w:rsidRPr="00D5357A">
        <w:t>Miej</w:t>
      </w:r>
      <w:r w:rsidR="00EC55BC" w:rsidRPr="00D5357A">
        <w:t>s</w:t>
      </w:r>
      <w:r w:rsidR="0030708B">
        <w:t>ce realizacji</w:t>
      </w:r>
      <w:bookmarkEnd w:id="7"/>
    </w:p>
    <w:p w14:paraId="029BEB4F" w14:textId="77777777"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8" w:name="_Toc68183593"/>
      <w:r>
        <w:t>Krótki opis inwestycji</w:t>
      </w:r>
      <w:bookmarkEnd w:id="8"/>
    </w:p>
    <w:p w14:paraId="14B2088A" w14:textId="77777777" w:rsidR="00C8220D" w:rsidRDefault="0030708B" w:rsidP="001C566C">
      <w:pPr>
        <w:jc w:val="both"/>
        <w:rPr>
          <w:rFonts w:cstheme="minorHAnsi"/>
        </w:rPr>
      </w:pPr>
      <w:r>
        <w:rPr>
          <w:rFonts w:cstheme="minorHAnsi"/>
        </w:rPr>
        <w:t>B</w:t>
      </w:r>
      <w:r w:rsidR="00D5357A">
        <w:rPr>
          <w:rFonts w:cstheme="minorHAnsi"/>
        </w:rPr>
        <w:t>udowa budynku</w:t>
      </w:r>
      <w:r w:rsidR="001C566C">
        <w:rPr>
          <w:rFonts w:cstheme="minorHAnsi"/>
        </w:rPr>
        <w:t xml:space="preserve"> zawierające Zakłady Radioterapii oraz Diagnostyki Obrazowej, z wyłączeniem zagospodarowania przestrzeni i wykończenia Zakładu Medycyny Nuklearnej</w:t>
      </w:r>
      <w:r w:rsidR="00C54B1E">
        <w:rPr>
          <w:rFonts w:cstheme="minorHAnsi"/>
        </w:rPr>
        <w:t>, a także rampę rozładowczą wraz z niezbędnym układem drogowym. Szczegółowy opis inwestycji objęty jest przedstawioną w toku niniejszego postępowania przetargowego dokumentacją projektową oraz opisami</w:t>
      </w:r>
      <w:r w:rsidR="001C566C">
        <w:rPr>
          <w:rFonts w:cstheme="minorHAnsi"/>
        </w:rPr>
        <w:t>.</w:t>
      </w:r>
      <w:r w:rsidR="00C16509">
        <w:rPr>
          <w:rFonts w:cstheme="minorHAnsi"/>
        </w:rPr>
        <w:t xml:space="preserve"> W wyniku realizacji projektu w oparciu o BIM Zamawiający oczekuje wybudowania i oddania do użytkowania obiektu w założonym czasie, budżecie i jakości, a w okresie eksploatacji możliwości </w:t>
      </w:r>
      <w:r w:rsidR="00C54B1E">
        <w:rPr>
          <w:rFonts w:cstheme="minorHAnsi"/>
        </w:rPr>
        <w:t>maksymalnego ograniczania kosztów eksploatacji obiektu oraz posiadania wszelkich danych możliwych do optymalizacji jego użytkowania (m. in. poprzez: analizy danych, modyfikacji przestrzeni).</w:t>
      </w:r>
    </w:p>
    <w:p w14:paraId="0CFE5A22" w14:textId="77777777" w:rsidR="001C566C" w:rsidRPr="0030708B" w:rsidRDefault="001C566C" w:rsidP="0030708B">
      <w:pPr>
        <w:pStyle w:val="Nagwek3"/>
      </w:pPr>
      <w:bookmarkStart w:id="9" w:name="_Toc68183594"/>
      <w:r w:rsidRPr="0030708B">
        <w:t>Definicje</w:t>
      </w:r>
      <w:bookmarkEnd w:id="9"/>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proofErr w:type="spellStart"/>
      <w:r w:rsidRPr="008E45B3">
        <w:rPr>
          <w:rFonts w:cstheme="minorHAnsi"/>
          <w:b/>
          <w:bCs/>
        </w:rPr>
        <w:t>EIR</w:t>
      </w:r>
      <w:proofErr w:type="spellEnd"/>
      <w:r w:rsidRPr="008E45B3">
        <w:rPr>
          <w:rFonts w:cstheme="minorHAnsi"/>
          <w:b/>
          <w:bCs/>
        </w:rPr>
        <w:t xml:space="preserve"> –</w:t>
      </w:r>
      <w:r w:rsidR="00BC1A30" w:rsidRPr="00BC1A30">
        <w:rPr>
          <w:rFonts w:cstheme="minorHAnsi"/>
          <w:b/>
          <w:bCs/>
        </w:rPr>
        <w:t xml:space="preserve"> </w:t>
      </w:r>
      <w:proofErr w:type="spellStart"/>
      <w:r w:rsidR="00BC1A30" w:rsidRPr="00BC1A30">
        <w:rPr>
          <w:rFonts w:cstheme="minorHAnsi"/>
          <w:b/>
          <w:bCs/>
        </w:rPr>
        <w:t>Employer's</w:t>
      </w:r>
      <w:proofErr w:type="spellEnd"/>
      <w:r w:rsidR="00BC1A30" w:rsidRPr="00BC1A30">
        <w:rPr>
          <w:rFonts w:cstheme="minorHAnsi"/>
          <w:b/>
          <w:bCs/>
        </w:rPr>
        <w:t xml:space="preserve"> Information </w:t>
      </w:r>
      <w:proofErr w:type="spellStart"/>
      <w:r w:rsidR="00BC1A30" w:rsidRPr="00BC1A30">
        <w:rPr>
          <w:rFonts w:cstheme="minorHAnsi"/>
          <w:b/>
          <w:bCs/>
        </w:rPr>
        <w:t>Requirements</w:t>
      </w:r>
      <w:proofErr w:type="spellEnd"/>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 xml:space="preserve">BIM – </w:t>
      </w:r>
      <w:proofErr w:type="spellStart"/>
      <w:r w:rsidR="001C566C" w:rsidRPr="005A611D">
        <w:rPr>
          <w:rFonts w:cstheme="minorHAnsi"/>
          <w:b/>
          <w:bCs/>
        </w:rPr>
        <w:t>Building</w:t>
      </w:r>
      <w:proofErr w:type="spellEnd"/>
      <w:r w:rsidR="001C566C" w:rsidRPr="005A611D">
        <w:rPr>
          <w:rFonts w:cstheme="minorHAnsi"/>
          <w:b/>
          <w:bCs/>
        </w:rPr>
        <w:t xml:space="preserve">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 xml:space="preserve">BIM – </w:t>
      </w:r>
      <w:proofErr w:type="spellStart"/>
      <w:r w:rsidRPr="00EC55BC">
        <w:rPr>
          <w:rFonts w:cstheme="minorHAnsi"/>
          <w:b/>
          <w:bCs/>
        </w:rPr>
        <w:t>Building</w:t>
      </w:r>
      <w:proofErr w:type="spellEnd"/>
      <w:r w:rsidRPr="00EC55BC">
        <w:rPr>
          <w:rFonts w:cstheme="minorHAnsi"/>
          <w:b/>
          <w:bCs/>
        </w:rPr>
        <w:t xml:space="preserve">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w:t>
      </w:r>
      <w:r w:rsidRPr="00EC55BC">
        <w:rPr>
          <w:rFonts w:cstheme="minorHAnsi"/>
        </w:rPr>
        <w:lastRenderedPageBreak/>
        <w:t>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proofErr w:type="spellStart"/>
      <w:r w:rsidRPr="00EC55BC">
        <w:rPr>
          <w:rFonts w:cstheme="minorHAnsi"/>
          <w:b/>
          <w:bCs/>
        </w:rPr>
        <w:t>IFC</w:t>
      </w:r>
      <w:proofErr w:type="spellEnd"/>
      <w:r w:rsidRPr="00EC55BC">
        <w:rPr>
          <w:rFonts w:cstheme="minorHAnsi"/>
          <w:b/>
          <w:bCs/>
        </w:rPr>
        <w:t xml:space="preserve"> – </w:t>
      </w:r>
      <w:proofErr w:type="spellStart"/>
      <w:r w:rsidRPr="00EC55BC">
        <w:rPr>
          <w:rFonts w:cstheme="minorHAnsi"/>
          <w:b/>
          <w:bCs/>
        </w:rPr>
        <w:t>Industry</w:t>
      </w:r>
      <w:proofErr w:type="spellEnd"/>
      <w:r w:rsidRPr="00EC55BC">
        <w:rPr>
          <w:rFonts w:cstheme="minorHAnsi"/>
          <w:b/>
          <w:bCs/>
        </w:rPr>
        <w:t xml:space="preserve"> Foundation </w:t>
      </w:r>
      <w:proofErr w:type="spellStart"/>
      <w:r w:rsidRPr="00EC55BC">
        <w:rPr>
          <w:rFonts w:cstheme="minorHAnsi"/>
          <w:b/>
          <w:bCs/>
        </w:rPr>
        <w:t>Classes</w:t>
      </w:r>
      <w:proofErr w:type="spellEnd"/>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proofErr w:type="spellStart"/>
      <w:r w:rsidRPr="00EC55BC">
        <w:rPr>
          <w:rFonts w:cstheme="minorHAnsi"/>
          <w:b/>
          <w:bCs/>
        </w:rPr>
        <w:t>COBie</w:t>
      </w:r>
      <w:proofErr w:type="spellEnd"/>
      <w:r w:rsidRPr="00EC55BC">
        <w:rPr>
          <w:rFonts w:cstheme="minorHAnsi"/>
          <w:b/>
          <w:bCs/>
        </w:rPr>
        <w:t xml:space="preserve"> – Construction </w:t>
      </w:r>
      <w:proofErr w:type="spellStart"/>
      <w:r w:rsidRPr="00EC55BC">
        <w:rPr>
          <w:rFonts w:cstheme="minorHAnsi"/>
          <w:b/>
          <w:bCs/>
        </w:rPr>
        <w:t>Operation</w:t>
      </w:r>
      <w:proofErr w:type="spellEnd"/>
      <w:r w:rsidRPr="00EC55BC">
        <w:rPr>
          <w:rFonts w:cstheme="minorHAnsi"/>
          <w:b/>
          <w:bCs/>
        </w:rPr>
        <w:t xml:space="preserve"> </w:t>
      </w:r>
      <w:proofErr w:type="spellStart"/>
      <w:r w:rsidRPr="00EC55BC">
        <w:rPr>
          <w:rFonts w:cstheme="minorHAnsi"/>
          <w:b/>
          <w:bCs/>
        </w:rPr>
        <w:t>Building</w:t>
      </w:r>
      <w:proofErr w:type="spellEnd"/>
      <w:r w:rsidRPr="00EC55BC">
        <w:rPr>
          <w:rFonts w:cstheme="minorHAnsi"/>
          <w:b/>
          <w:bCs/>
        </w:rPr>
        <w:t xml:space="preserve"> </w:t>
      </w:r>
      <w:proofErr w:type="spellStart"/>
      <w:r w:rsidRPr="00EC55BC">
        <w:rPr>
          <w:rFonts w:cstheme="minorHAnsi"/>
          <w:b/>
          <w:bCs/>
        </w:rPr>
        <w:t>information</w:t>
      </w:r>
      <w:proofErr w:type="spellEnd"/>
      <w:r w:rsidRPr="00EC55BC">
        <w:rPr>
          <w:rFonts w:cstheme="minorHAnsi"/>
          <w:b/>
          <w:bCs/>
        </w:rPr>
        <w:t xml:space="preserve">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w:t>
      </w:r>
      <w:proofErr w:type="spellStart"/>
      <w:r w:rsidRPr="00EC55BC">
        <w:rPr>
          <w:rFonts w:cstheme="minorHAnsi"/>
        </w:rPr>
        <w:t>Detail</w:t>
      </w:r>
      <w:proofErr w:type="spellEnd"/>
      <w:r w:rsidRPr="00EC55BC">
        <w:rPr>
          <w:rFonts w:cstheme="minorHAnsi"/>
        </w:rPr>
        <w:t xml:space="preserve">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lastRenderedPageBreak/>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10" w:name="_Hlk67913510"/>
      <w:r w:rsidRPr="00847CC0">
        <w:rPr>
          <w:rFonts w:cstheme="minorHAnsi"/>
          <w:b/>
          <w:bCs/>
        </w:rPr>
        <w:t>6D</w:t>
      </w:r>
      <w:r w:rsidRPr="005A611D">
        <w:rPr>
          <w:rFonts w:cstheme="minorHAnsi"/>
        </w:rPr>
        <w:t xml:space="preserve"> </w:t>
      </w:r>
      <w:bookmarkStart w:id="11"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1"/>
      <w:r w:rsidRPr="00EC55BC">
        <w:rPr>
          <w:rFonts w:cstheme="minorHAnsi"/>
        </w:rPr>
        <w:t xml:space="preserve"> Dane zawarte w modelu 6D są wykorzystywane np. przy analizie energetycznej obiektu. </w:t>
      </w:r>
    </w:p>
    <w:bookmarkEnd w:id="10"/>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2" w:name="_Toc67930478"/>
      <w:bookmarkStart w:id="13" w:name="_Toc68183595"/>
      <w:r w:rsidRPr="00BB6C0A">
        <w:t>Cele</w:t>
      </w:r>
      <w:bookmarkEnd w:id="12"/>
      <w:bookmarkEnd w:id="13"/>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77777777" w:rsidR="00FA21D0" w:rsidRPr="00EC55BC" w:rsidRDefault="008A4420" w:rsidP="00EE5679">
      <w:pPr>
        <w:numPr>
          <w:ilvl w:val="0"/>
          <w:numId w:val="7"/>
        </w:numPr>
        <w:spacing w:line="236" w:lineRule="auto"/>
        <w:jc w:val="both"/>
        <w:rPr>
          <w:rFonts w:eastAsia="Times New Roman" w:cstheme="minorHAnsi"/>
        </w:rPr>
      </w:pPr>
      <w:r>
        <w:rPr>
          <w:rFonts w:cstheme="minorHAnsi"/>
        </w:rPr>
        <w:t>b</w:t>
      </w:r>
      <w:r w:rsidR="00FA21D0" w:rsidRPr="00EC55BC">
        <w:rPr>
          <w:rFonts w:cstheme="minorHAnsi"/>
        </w:rPr>
        <w:t>udowę obiektu o jak najwyższych walorach urbanistycznych, architektonicznych i w zakresie rozwiązań programowych i funkcjonalno-użytkowych, a także dostarczenia wymaganego wyposażenia</w:t>
      </w:r>
      <w:r>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7777777" w:rsidR="008A4420" w:rsidRP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lastRenderedPageBreak/>
        <w:t xml:space="preserve">redukcji </w:t>
      </w:r>
      <w:proofErr w:type="spellStart"/>
      <w:r w:rsidRPr="008A4420">
        <w:rPr>
          <w:rFonts w:cstheme="minorHAnsi"/>
        </w:rPr>
        <w:t>ryzyk</w:t>
      </w:r>
      <w:proofErr w:type="spellEnd"/>
      <w:r w:rsidRPr="008A4420">
        <w:rPr>
          <w:rFonts w:cstheme="minorHAnsi"/>
        </w:rPr>
        <w:t xml:space="preserve">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4"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4"/>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 xml:space="preserve">ostęp do aktualnych i </w:t>
      </w:r>
      <w:r w:rsidRPr="00EC55BC">
        <w:rPr>
          <w:rFonts w:cstheme="minorHAnsi"/>
          <w:bCs/>
        </w:rPr>
        <w:lastRenderedPageBreak/>
        <w:t>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77777777"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w:t>
      </w:r>
      <w:proofErr w:type="spellStart"/>
      <w:r w:rsidRPr="005A611D">
        <w:rPr>
          <w:rFonts w:cstheme="minorHAnsi"/>
          <w:bCs/>
        </w:rPr>
        <w:t>AI</w:t>
      </w:r>
      <w:r w:rsidRPr="00EC55BC">
        <w:rPr>
          <w:rFonts w:cstheme="minorHAnsi"/>
          <w:bCs/>
        </w:rPr>
        <w:t>M</w:t>
      </w:r>
      <w:proofErr w:type="spellEnd"/>
      <w:r w:rsidRPr="00EC55BC">
        <w:rPr>
          <w:rFonts w:cstheme="minorHAnsi"/>
          <w:bCs/>
        </w:rPr>
        <w:t xml:space="preserve"> –</w:t>
      </w:r>
      <w:proofErr w:type="spellStart"/>
      <w:r w:rsidRPr="00EC55BC">
        <w:rPr>
          <w:rFonts w:cstheme="minorHAnsi"/>
          <w:bCs/>
        </w:rPr>
        <w:t>Asset</w:t>
      </w:r>
      <w:proofErr w:type="spellEnd"/>
      <w:r w:rsidRPr="00EC55BC">
        <w:rPr>
          <w:rFonts w:cstheme="minorHAnsi"/>
          <w:bCs/>
        </w:rPr>
        <w:t xml:space="preserve"> </w:t>
      </w:r>
      <w:proofErr w:type="spellStart"/>
      <w:r w:rsidRPr="00EC55BC">
        <w:rPr>
          <w:rFonts w:cstheme="minorHAnsi"/>
          <w:bCs/>
        </w:rPr>
        <w:t>Infromation</w:t>
      </w:r>
      <w:proofErr w:type="spellEnd"/>
      <w:r w:rsidRPr="00EC55BC">
        <w:rPr>
          <w:rFonts w:cstheme="minorHAnsi"/>
          <w:bCs/>
        </w:rPr>
        <w:t xml:space="preserve">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5" w:name="_Toc67930479"/>
      <w:bookmarkStart w:id="16" w:name="_Toc68183596"/>
      <w:r w:rsidRPr="0030708B">
        <w:t xml:space="preserve">Wymagania </w:t>
      </w:r>
      <w:r w:rsidR="003F3BD9" w:rsidRPr="0030708B">
        <w:t>w zakresie zarządzania</w:t>
      </w:r>
      <w:bookmarkEnd w:id="15"/>
      <w:bookmarkEnd w:id="16"/>
    </w:p>
    <w:p w14:paraId="6DA8DFCF" w14:textId="77777777" w:rsidR="003F3BD9" w:rsidRPr="0030708B" w:rsidRDefault="003F3BD9" w:rsidP="0030708B">
      <w:pPr>
        <w:pStyle w:val="Nagwek3"/>
      </w:pPr>
      <w:bookmarkStart w:id="17" w:name="_Toc68183597"/>
      <w:r w:rsidRPr="0030708B">
        <w:t>Plan Wykonania BIM (</w:t>
      </w:r>
      <w:proofErr w:type="spellStart"/>
      <w:r w:rsidRPr="0030708B">
        <w:t>BEP</w:t>
      </w:r>
      <w:proofErr w:type="spellEnd"/>
      <w:r w:rsidRPr="0030708B">
        <w:t xml:space="preserve"> – BIM </w:t>
      </w:r>
      <w:proofErr w:type="spellStart"/>
      <w:r w:rsidRPr="0030708B">
        <w:t>Execution</w:t>
      </w:r>
      <w:proofErr w:type="spellEnd"/>
      <w:r w:rsidRPr="0030708B">
        <w:t xml:space="preserve"> Plan)</w:t>
      </w:r>
      <w:bookmarkEnd w:id="17"/>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7777777" w:rsidR="003F3BD9" w:rsidRDefault="003F3BD9" w:rsidP="003F3BD9">
      <w:pPr>
        <w:jc w:val="both"/>
        <w:rPr>
          <w:rFonts w:cstheme="minorHAnsi"/>
        </w:rPr>
      </w:pPr>
      <w:r>
        <w:rPr>
          <w:rFonts w:cstheme="minorHAnsi"/>
        </w:rPr>
        <w:t xml:space="preserve">Zamawiający nie narzuca Wykonawcy wymogów i wzoru w zakresie </w:t>
      </w:r>
      <w:r w:rsidRPr="003F3BD9">
        <w:rPr>
          <w:rFonts w:cstheme="minorHAnsi"/>
        </w:rPr>
        <w:t>BEP</w:t>
      </w:r>
      <w:r>
        <w:rPr>
          <w:rFonts w:cstheme="minorHAnsi"/>
        </w:rPr>
        <w:t>, który</w:t>
      </w:r>
      <w:r w:rsidRPr="003F3BD9">
        <w:rPr>
          <w:rFonts w:cstheme="minorHAnsi"/>
        </w:rPr>
        <w:t xml:space="preserve"> </w:t>
      </w:r>
      <w:r>
        <w:rPr>
          <w:rFonts w:cstheme="minorHAnsi"/>
        </w:rPr>
        <w:t xml:space="preserve">zostanie </w:t>
      </w:r>
      <w:r w:rsidRPr="003F3BD9">
        <w:rPr>
          <w:rFonts w:cstheme="minorHAnsi"/>
        </w:rPr>
        <w:t xml:space="preserve">przygotowywany </w:t>
      </w:r>
      <w:r w:rsidR="00B94EDF">
        <w:rPr>
          <w:rFonts w:cstheme="minorHAnsi"/>
        </w:rPr>
        <w:t xml:space="preserve">i przekazany </w:t>
      </w:r>
      <w:r w:rsidRPr="003F3BD9">
        <w:rPr>
          <w:rFonts w:cstheme="minorHAnsi"/>
        </w:rPr>
        <w:t xml:space="preserve">przez Wykonawcę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301B2FB1" w14:textId="77777777" w:rsidR="00C81BC8" w:rsidRPr="00267163" w:rsidRDefault="00C81BC8" w:rsidP="00267163">
      <w:pPr>
        <w:pStyle w:val="Nagwek2"/>
      </w:pPr>
      <w:bookmarkStart w:id="18" w:name="_Toc68183598"/>
      <w:r w:rsidRPr="00267163">
        <w:t>Standardy i normy</w:t>
      </w:r>
      <w:bookmarkEnd w:id="18"/>
    </w:p>
    <w:p w14:paraId="1E015CBD" w14:textId="77777777" w:rsidR="00C81BC8" w:rsidRPr="00C81BC8" w:rsidRDefault="00C81BC8" w:rsidP="00C81BC8">
      <w:pPr>
        <w:jc w:val="both"/>
        <w:rPr>
          <w:rFonts w:cstheme="minorHAnsi"/>
        </w:rPr>
      </w:pPr>
      <w:r w:rsidRPr="00C81BC8">
        <w:rPr>
          <w:rFonts w:cstheme="minorHAnsi"/>
        </w:rPr>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lastRenderedPageBreak/>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9" w:name="_Toc68183599"/>
      <w:r w:rsidRPr="00BB6C0A">
        <w:t>Standardy nazewnictwa kontenerów danych</w:t>
      </w:r>
      <w:bookmarkEnd w:id="19"/>
    </w:p>
    <w:p w14:paraId="751E2883" w14:textId="77777777" w:rsidR="00C81BC8" w:rsidRPr="00C81BC8" w:rsidRDefault="00C81BC8" w:rsidP="00C81BC8">
      <w:pPr>
        <w:jc w:val="both"/>
        <w:rPr>
          <w:rFonts w:cstheme="minorHAnsi"/>
        </w:rPr>
      </w:pPr>
      <w:r w:rsidRPr="00C81BC8">
        <w:rPr>
          <w:rFonts w:cstheme="minorHAnsi"/>
        </w:rPr>
        <w:t xml:space="preserve">Zamawiający oczekuje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Pr>
          <w:rFonts w:cstheme="minorHAnsi"/>
        </w:rPr>
        <w:t xml:space="preserve">. Między innymi w tym celu Zamawiający udostępnił </w:t>
      </w:r>
      <w:r w:rsidR="000362E9">
        <w:rPr>
          <w:rFonts w:cstheme="minorHAnsi"/>
        </w:rPr>
        <w:t xml:space="preserve">dokument </w:t>
      </w:r>
      <w:bookmarkStart w:id="20" w:name="_Hlk68035069"/>
      <w:r w:rsidR="000362E9">
        <w:rPr>
          <w:rFonts w:cstheme="minorHAnsi"/>
        </w:rPr>
        <w:t>240-IP-00-XX-NO-X-00001-BEP.</w:t>
      </w:r>
    </w:p>
    <w:p w14:paraId="21051B1C" w14:textId="77777777" w:rsidR="000362E9" w:rsidRPr="00BB6C0A" w:rsidRDefault="000362E9" w:rsidP="00267163">
      <w:pPr>
        <w:pStyle w:val="Nagwek2"/>
      </w:pPr>
      <w:bookmarkStart w:id="21" w:name="_Toc68183600"/>
      <w:bookmarkEnd w:id="20"/>
      <w:r w:rsidRPr="00BB6C0A">
        <w:t>Role i zakres odpowiedzialności uczestników</w:t>
      </w:r>
      <w:bookmarkEnd w:id="21"/>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77777777"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2" w:name="_Toc68183601"/>
      <w:r w:rsidRPr="000362E9">
        <w:t>Planowanie pracy i systematyzacja danych</w:t>
      </w:r>
      <w:bookmarkEnd w:id="22"/>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lastRenderedPageBreak/>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3" w:name="_Toc68183602"/>
      <w:r w:rsidRPr="006E0EF9">
        <w:t>Zarządzanie modelem i dokumentacją</w:t>
      </w:r>
      <w:bookmarkEnd w:id="23"/>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77777777"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w:t>
      </w:r>
      <w:proofErr w:type="spellStart"/>
      <w:r>
        <w:rPr>
          <w:rFonts w:cstheme="minorHAnsi"/>
        </w:rPr>
        <w:t>Think</w:t>
      </w:r>
      <w:proofErr w:type="spellEnd"/>
      <w:r>
        <w:rPr>
          <w:rFonts w:cstheme="minorHAnsi"/>
        </w:rPr>
        <w:t xml:space="preserve"> Project.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4" w:name="_Toc68183603"/>
      <w:r w:rsidRPr="00B01D53">
        <w:t>Bezpieczeństwo danych</w:t>
      </w:r>
      <w:bookmarkEnd w:id="24"/>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lastRenderedPageBreak/>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 xml:space="preserve">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w:t>
      </w:r>
      <w:proofErr w:type="spellStart"/>
      <w:r>
        <w:t>https</w:t>
      </w:r>
      <w:proofErr w:type="spellEnd"/>
      <w:r>
        <w:t xml:space="preserve">, </w:t>
      </w:r>
      <w:proofErr w:type="spellStart"/>
      <w:r>
        <w:t>sftp</w:t>
      </w:r>
      <w:proofErr w:type="spellEnd"/>
      <w:r>
        <w:t>,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5" w:name="_Toc68183604"/>
      <w:r>
        <w:t>Koordynacja i wykrywanie kolizji</w:t>
      </w:r>
      <w:bookmarkEnd w:id="25"/>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lastRenderedPageBreak/>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6" w:name="_Toc68183605"/>
      <w:r w:rsidRPr="00CD1571">
        <w:t>Spotkania i przeglądy modelu</w:t>
      </w:r>
      <w:bookmarkEnd w:id="26"/>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7777777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w piątki.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623979CF" w14:textId="77777777" w:rsidR="00390130"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5202D8E8" w14:textId="77777777" w:rsidR="00D613D4" w:rsidRPr="00D613D4" w:rsidRDefault="00D613D4" w:rsidP="00267163">
      <w:pPr>
        <w:pStyle w:val="Nagwek2"/>
      </w:pPr>
      <w:bookmarkStart w:id="27" w:name="_Toc68183606"/>
      <w:r w:rsidRPr="00D613D4">
        <w:t>Zarządzanie BHP</w:t>
      </w:r>
      <w:bookmarkEnd w:id="27"/>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8" w:name="_Toc68183607"/>
      <w:r w:rsidRPr="00D613D4">
        <w:lastRenderedPageBreak/>
        <w:t>Plan zgodności</w:t>
      </w:r>
      <w:bookmarkEnd w:id="28"/>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9" w:name="_Toc68183608"/>
      <w:r w:rsidRPr="00A32E56">
        <w:t>Jednostki używane w projekcie</w:t>
      </w:r>
      <w:bookmarkEnd w:id="29"/>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30" w:name="_Toc68183609"/>
      <w:r>
        <w:t>Procesy współpracy</w:t>
      </w:r>
      <w:bookmarkEnd w:id="30"/>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1" w:name="_Toc68183610"/>
      <w:r>
        <w:t>Proce</w:t>
      </w:r>
      <w:r w:rsidR="003F76D1">
        <w:t>dury zapewnienia jakości</w:t>
      </w:r>
      <w:bookmarkEnd w:id="31"/>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w:t>
      </w:r>
      <w:r>
        <w:rPr>
          <w:rFonts w:cstheme="minorHAnsi"/>
        </w:rPr>
        <w:lastRenderedPageBreak/>
        <w:t xml:space="preserve">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 xml:space="preserve">Kontrola czy wszystkie pliki wchodzące w skład dokumentacji lub opisane dla poszczególnych Punktów Dostarczenia Danych zostały umieszczone na Platformie Wymiany Danych, mają </w:t>
      </w:r>
      <w:r w:rsidRPr="009279C3">
        <w:rPr>
          <w:rFonts w:cstheme="minorHAnsi"/>
        </w:rPr>
        <w:lastRenderedPageBreak/>
        <w:t>poprawne numery wersji i są udostępnione wymaganym uczestnikom projektu w wymaganym terminie.</w:t>
      </w:r>
    </w:p>
    <w:p w14:paraId="4A0DC931" w14:textId="77777777"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 xml:space="preserve">ą na wstępie dokumentacje oraz model w celu identyfikacji niezgodności i kolizji oraz jak </w:t>
      </w:r>
      <w:proofErr w:type="spellStart"/>
      <w:r>
        <w:rPr>
          <w:rFonts w:cstheme="minorHAnsi"/>
        </w:rPr>
        <w:t>najwcześniejemu</w:t>
      </w:r>
      <w:proofErr w:type="spellEnd"/>
      <w:r>
        <w:rPr>
          <w:rFonts w:cstheme="minorHAnsi"/>
        </w:rPr>
        <w:t xml:space="preserve"> ich usunięciu.</w:t>
      </w:r>
    </w:p>
    <w:p w14:paraId="0DEC4721" w14:textId="77777777" w:rsidR="00CE3B0D" w:rsidRPr="00A32E56" w:rsidRDefault="00CE3B0D" w:rsidP="008E45B3">
      <w:pPr>
        <w:pStyle w:val="Nagwek3"/>
        <w:keepNext/>
      </w:pPr>
      <w:bookmarkStart w:id="32" w:name="_Toc68183611"/>
      <w:r>
        <w:t>Podział modeli</w:t>
      </w:r>
      <w:bookmarkEnd w:id="32"/>
    </w:p>
    <w:p w14:paraId="3C7166CC" w14:textId="77777777" w:rsidR="00CE3B0D" w:rsidRPr="00C81BC8" w:rsidRDefault="00CE3B0D" w:rsidP="00CE3B0D">
      <w:pPr>
        <w:jc w:val="both"/>
        <w:rPr>
          <w:rFonts w:cstheme="minorHAnsi"/>
        </w:rPr>
      </w:pPr>
      <w:r>
        <w:rPr>
          <w:rFonts w:cstheme="minorHAnsi"/>
        </w:rPr>
        <w:t>W związku z tym, że model budowy budynku radioterapii jest jednym z wielu modeli wykonanych przez Projektanta w ramach łączącego go z Zamawiającym umową opis podziału modeli został ujęty w Planie Wykonania BIM ustalonym z Projektantem (patrz 240-IP-00-XX-NO-X-00001-BEP).</w:t>
      </w:r>
    </w:p>
    <w:p w14:paraId="65818795" w14:textId="77777777" w:rsidR="00CE3B0D" w:rsidRPr="00BD3057" w:rsidRDefault="00CE3B0D" w:rsidP="00267163">
      <w:pPr>
        <w:pStyle w:val="Nagwek2"/>
      </w:pPr>
      <w:bookmarkStart w:id="33" w:name="_Toc68183612"/>
      <w:r w:rsidRPr="00BD3057">
        <w:t>Strategia dostarczania informacji o zasobach i obiekcie</w:t>
      </w:r>
      <w:bookmarkEnd w:id="33"/>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77777777" w:rsidR="007A334F" w:rsidRDefault="007A334F" w:rsidP="007A334F">
      <w:pPr>
        <w:jc w:val="both"/>
        <w:rPr>
          <w:rFonts w:cstheme="minorHAnsi"/>
        </w:rPr>
      </w:pPr>
      <w:r w:rsidRPr="00EC55BC">
        <w:rPr>
          <w:rFonts w:cstheme="minorHAnsi"/>
        </w:rPr>
        <w:t>Na etapie prac budowlanych (Etap I) tj. w ciągu 45 dni od dnia podpisania umowy,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4" w:name="_Hlk67913360"/>
      <w:r w:rsidRPr="005A611D">
        <w:rPr>
          <w:rFonts w:cstheme="minorHAnsi"/>
        </w:rPr>
        <w:t>Model ma być uaktualniany i będzie służył zamawiającemu do kontroli realizacji inwestycji</w:t>
      </w:r>
      <w:r>
        <w:rPr>
          <w:rFonts w:cstheme="minorHAnsi"/>
        </w:rPr>
        <w:t>;</w:t>
      </w:r>
    </w:p>
    <w:bookmarkEnd w:id="34"/>
    <w:p w14:paraId="4D52C03E" w14:textId="77777777" w:rsidR="007A334F" w:rsidRPr="00EC55BC" w:rsidRDefault="007A334F" w:rsidP="00EE5679">
      <w:pPr>
        <w:pStyle w:val="Akapitzlist"/>
        <w:numPr>
          <w:ilvl w:val="0"/>
          <w:numId w:val="9"/>
        </w:numPr>
        <w:jc w:val="both"/>
        <w:rPr>
          <w:rFonts w:cstheme="minorHAnsi"/>
          <w:b/>
          <w:bCs/>
        </w:rPr>
      </w:pPr>
      <w:r>
        <w:t>modelu BIM 5D pozwalającego na precyzyjne określenie i kontrolę kosztów.</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77777777" w:rsidR="007A334F" w:rsidRPr="00EC55BC" w:rsidRDefault="007A334F" w:rsidP="007A334F">
      <w:pPr>
        <w:jc w:val="both"/>
        <w:rPr>
          <w:rFonts w:cstheme="minorHAnsi"/>
        </w:rPr>
      </w:pPr>
      <w:r w:rsidRPr="00EC55BC">
        <w:rPr>
          <w:rFonts w:cstheme="minorHAnsi"/>
        </w:rPr>
        <w:t xml:space="preserve">Na etapie wykonania wielobranżowego projektu powykonawczego (Etap </w:t>
      </w:r>
      <w:r w:rsidR="00A91D78">
        <w:rPr>
          <w:rFonts w:cstheme="minorHAnsi"/>
        </w:rPr>
        <w:t>I</w:t>
      </w:r>
      <w:r w:rsidRPr="00EC55BC">
        <w:rPr>
          <w:rFonts w:cstheme="minorHAnsi"/>
        </w:rPr>
        <w:t>X),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w:t>
      </w:r>
      <w:proofErr w:type="spellStart"/>
      <w:r w:rsidRPr="00EC55BC">
        <w:rPr>
          <w:rFonts w:cstheme="minorHAnsi"/>
        </w:rPr>
        <w:t>COBie</w:t>
      </w:r>
      <w:proofErr w:type="spellEnd"/>
      <w:r w:rsidRPr="00EC55BC">
        <w:rPr>
          <w:rFonts w:cstheme="minorHAnsi"/>
        </w:rPr>
        <w:t xml:space="preserve"> </w:t>
      </w:r>
      <w:r>
        <w:rPr>
          <w:rFonts w:cstheme="minorHAnsi"/>
        </w:rPr>
        <w:t>oraz do programu do zarządzania nieruchomościami posiadanego przez Zamawiającego;</w:t>
      </w:r>
    </w:p>
    <w:p w14:paraId="59F9F0BE"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informacje o systemach, poziomach, przestrzeniach i innych danych związanych z hierarchią formatu </w:t>
      </w:r>
      <w:proofErr w:type="spellStart"/>
      <w:r w:rsidRPr="00EC55BC">
        <w:rPr>
          <w:rFonts w:cstheme="minorHAnsi"/>
        </w:rPr>
        <w:t>COBie</w:t>
      </w:r>
      <w:proofErr w:type="spellEnd"/>
      <w:r w:rsidRPr="00EC55BC">
        <w:rPr>
          <w:rFonts w:cstheme="minorHAnsi"/>
        </w:rPr>
        <w:t xml:space="preserv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7777777" w:rsidR="007A334F" w:rsidRPr="005A611D" w:rsidRDefault="007A334F" w:rsidP="00EE5679">
      <w:pPr>
        <w:pStyle w:val="Akapitzlist"/>
        <w:numPr>
          <w:ilvl w:val="0"/>
          <w:numId w:val="4"/>
        </w:numPr>
        <w:rPr>
          <w:rFonts w:cstheme="minorHAnsi"/>
        </w:rPr>
      </w:pPr>
      <w:r w:rsidRPr="00CB1427">
        <w:rPr>
          <w:rFonts w:cstheme="minorHAnsi"/>
        </w:rPr>
        <w:t>w dostarczonych modelach BIM będzie możliwe dołączanie do ich komponentów linków do dokumentów zewnętrznych opisujących te komponenty (karty gwarancyjne, zdjęcia, instrukcje montażu).</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lastRenderedPageBreak/>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w:t>
      </w:r>
      <w:proofErr w:type="spellStart"/>
      <w:r w:rsidRPr="007A334F">
        <w:rPr>
          <w:rFonts w:cstheme="minorHAnsi"/>
        </w:rPr>
        <w:t>SherePoint</w:t>
      </w:r>
      <w:proofErr w:type="spellEnd"/>
      <w:r w:rsidRPr="007A334F">
        <w:rPr>
          <w:rFonts w:cstheme="minorHAnsi"/>
        </w:rPr>
        <w:t xml:space="preserve">.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77777777" w:rsidR="007A334F" w:rsidRDefault="007A334F" w:rsidP="003F76D1">
      <w:pPr>
        <w:rPr>
          <w:rFonts w:cstheme="minorHAnsi"/>
        </w:rPr>
      </w:pPr>
      <w:r>
        <w:rPr>
          <w:rFonts w:cstheme="minorHAnsi"/>
        </w:rPr>
        <w:t xml:space="preserve">W związku z tym, że platforma FM posiadana przez Zamawiającego jest w ciągłej rozbudowie, Wykonawca uzgodni z Zamawiającym zakres danych jakie będzie należało wytransferować do posiadanej platformy FM, a jakie dane należy przekazać Zamawiającemu w formie </w:t>
      </w:r>
      <w:proofErr w:type="spellStart"/>
      <w:r>
        <w:rPr>
          <w:rFonts w:cstheme="minorHAnsi"/>
        </w:rPr>
        <w:t>COBie</w:t>
      </w:r>
      <w:proofErr w:type="spellEnd"/>
      <w:r>
        <w:rPr>
          <w:rFonts w:cstheme="minorHAnsi"/>
        </w:rPr>
        <w:t>.</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5" w:name="_Toc67930480"/>
      <w:bookmarkStart w:id="36" w:name="_Toc68183613"/>
      <w:r w:rsidRPr="00EC55BC">
        <w:t>Wymaga</w:t>
      </w:r>
      <w:r w:rsidR="00CB1427" w:rsidRPr="00EC55BC">
        <w:t>nia</w:t>
      </w:r>
      <w:r w:rsidRPr="00EC55BC">
        <w:t xml:space="preserve"> techniczne</w:t>
      </w:r>
      <w:bookmarkEnd w:id="35"/>
      <w:bookmarkEnd w:id="36"/>
    </w:p>
    <w:p w14:paraId="4AADF83B" w14:textId="77777777" w:rsidR="00A42962" w:rsidRDefault="00611415" w:rsidP="00AC4099">
      <w:pPr>
        <w:pStyle w:val="Nagwek2"/>
      </w:pPr>
      <w:bookmarkStart w:id="37" w:name="_Toc67930481"/>
      <w:bookmarkStart w:id="38" w:name="_Toc68183614"/>
      <w:r w:rsidRPr="00611415">
        <w:t xml:space="preserve">Platformy </w:t>
      </w:r>
      <w:r w:rsidRPr="005A611D">
        <w:t>oprogramowania</w:t>
      </w:r>
      <w:bookmarkEnd w:id="37"/>
      <w:bookmarkEnd w:id="38"/>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77777777" w:rsidR="003A1870" w:rsidRDefault="003A1870" w:rsidP="003A1870">
      <w:pPr>
        <w:jc w:val="both"/>
        <w:rPr>
          <w:rFonts w:cstheme="minorHAnsi"/>
        </w:rPr>
      </w:pPr>
      <w:bookmarkStart w:id="39" w:name="_Toc67930482"/>
      <w:r>
        <w:rPr>
          <w:rFonts w:cstheme="minorHAnsi"/>
        </w:rPr>
        <w:t>Zamawiający informuje, że posiada oprog</w:t>
      </w:r>
      <w:r w:rsidR="008A4D8A">
        <w:rPr>
          <w:rFonts w:cstheme="minorHAnsi"/>
        </w:rPr>
        <w:t>ramowanie Revit oraz BIM360.</w:t>
      </w:r>
    </w:p>
    <w:p w14:paraId="7425BFCA" w14:textId="77777777" w:rsidR="008A4D8A" w:rsidRDefault="008A4D8A" w:rsidP="003A1870">
      <w:pPr>
        <w:jc w:val="both"/>
        <w:rPr>
          <w:rFonts w:cstheme="minorHAnsi"/>
        </w:rPr>
      </w:pPr>
      <w:r>
        <w:rPr>
          <w:rFonts w:cstheme="minorHAnsi"/>
        </w:rPr>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40" w:name="_Toc67930483"/>
      <w:bookmarkStart w:id="41" w:name="_Toc68183615"/>
      <w:r>
        <w:t>Format wymiany danych</w:t>
      </w:r>
      <w:bookmarkEnd w:id="40"/>
      <w:bookmarkEnd w:id="41"/>
    </w:p>
    <w:p w14:paraId="73249DD3" w14:textId="77777777" w:rsidR="00E23C07" w:rsidRPr="00317F69" w:rsidRDefault="00E23C07" w:rsidP="00E23C07">
      <w:pPr>
        <w:jc w:val="both"/>
        <w:rPr>
          <w:rFonts w:cstheme="minorHAnsi"/>
        </w:rPr>
      </w:pPr>
      <w:r w:rsidRPr="00317F69">
        <w:rPr>
          <w:rFonts w:cstheme="minorHAnsi"/>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w:t>
      </w:r>
      <w:r w:rsidRPr="00317F69">
        <w:rPr>
          <w:rFonts w:cstheme="minorHAnsi"/>
        </w:rPr>
        <w:lastRenderedPageBreak/>
        <w:t xml:space="preserve">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w:t>
      </w:r>
      <w:proofErr w:type="spellStart"/>
      <w:r w:rsidRPr="00317F69">
        <w:rPr>
          <w:rFonts w:cstheme="minorHAnsi"/>
        </w:rPr>
        <w:t>COBie</w:t>
      </w:r>
      <w:proofErr w:type="spellEnd"/>
      <w:r w:rsidRPr="00317F69">
        <w:rPr>
          <w:rFonts w:cstheme="minorHAnsi"/>
        </w:rPr>
        <w:t xml:space="preserve">, wersja </w:t>
      </w:r>
      <w:proofErr w:type="spellStart"/>
      <w:r w:rsidRPr="00317F69">
        <w:rPr>
          <w:rFonts w:cstheme="minorHAnsi"/>
        </w:rPr>
        <w:t>SpreadsheetML</w:t>
      </w:r>
      <w:proofErr w:type="spellEnd"/>
      <w:r w:rsidRPr="00317F69">
        <w:rPr>
          <w:rFonts w:cstheme="minorHAnsi"/>
        </w:rPr>
        <w:t xml:space="preserve"> (format języka </w:t>
      </w:r>
      <w:proofErr w:type="spellStart"/>
      <w:r w:rsidRPr="00317F69">
        <w:rPr>
          <w:rFonts w:cstheme="minorHAnsi"/>
        </w:rPr>
        <w:t>xml</w:t>
      </w:r>
      <w:proofErr w:type="spellEnd"/>
      <w:r w:rsidRPr="00317F69">
        <w:rPr>
          <w:rFonts w:cstheme="minorHAnsi"/>
        </w:rPr>
        <w:t xml:space="preserve">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 xml:space="preserve">amawiającym jakie informacje mają być zawarte w modelu oraz pliku </w:t>
      </w:r>
      <w:proofErr w:type="spellStart"/>
      <w:r w:rsidRPr="00317F69">
        <w:rPr>
          <w:rFonts w:cstheme="minorHAnsi"/>
        </w:rPr>
        <w:t>COB</w:t>
      </w:r>
      <w:r>
        <w:rPr>
          <w:rFonts w:cstheme="minorHAnsi"/>
        </w:rPr>
        <w:t>ie</w:t>
      </w:r>
      <w:proofErr w:type="spellEnd"/>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 xml:space="preserve">DWG 3D, </w:t>
            </w:r>
            <w:proofErr w:type="spellStart"/>
            <w:r w:rsidRPr="00667205">
              <w:rPr>
                <w:rFonts w:cstheme="minorHAnsi"/>
                <w:sz w:val="20"/>
              </w:rPr>
              <w:t>LandXML</w:t>
            </w:r>
            <w:proofErr w:type="spellEnd"/>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2" w:name="_Toc68183616"/>
      <w:r w:rsidRPr="00E97675">
        <w:t>Układy współrzędnych stosowane w projekcie</w:t>
      </w:r>
      <w:bookmarkEnd w:id="42"/>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3" w:name="_Toc67930485"/>
      <w:bookmarkStart w:id="44" w:name="_Toc68183617"/>
      <w:bookmarkEnd w:id="39"/>
      <w:r w:rsidRPr="00597F8C">
        <w:t>Poziomy szczegółowości zalecenia ogólne</w:t>
      </w:r>
      <w:bookmarkEnd w:id="43"/>
      <w:bookmarkEnd w:id="44"/>
      <w:r w:rsidRPr="00597F8C">
        <w:t xml:space="preserve"> </w:t>
      </w:r>
    </w:p>
    <w:p w14:paraId="3A1B64B6" w14:textId="77777777" w:rsidR="00C67201" w:rsidRPr="00EC55BC" w:rsidRDefault="00C67201" w:rsidP="00EC55BC">
      <w:pPr>
        <w:jc w:val="both"/>
        <w:rPr>
          <w:rFonts w:cstheme="minorHAnsi"/>
        </w:rPr>
      </w:pPr>
      <w:r w:rsidRPr="005A611D">
        <w:rPr>
          <w:rFonts w:cstheme="minorHAnsi"/>
        </w:rPr>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Minimalny, wymagany 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 xml:space="preserve">Urządzenia MEP(A: poprzez urządzenia MEP rozumie się centrale wentylacyjne, wentylatory, </w:t>
            </w:r>
            <w:proofErr w:type="spellStart"/>
            <w:r w:rsidRPr="00C45010">
              <w:rPr>
                <w:rFonts w:cstheme="minorHAnsi"/>
                <w:sz w:val="20"/>
                <w:szCs w:val="20"/>
              </w:rPr>
              <w:t>klimakonwektory</w:t>
            </w:r>
            <w:proofErr w:type="spellEnd"/>
            <w:r w:rsidRPr="00C45010">
              <w:rPr>
                <w:rFonts w:cstheme="minorHAnsi"/>
                <w:sz w:val="20"/>
                <w:szCs w:val="20"/>
              </w:rPr>
              <w:t xml:space="preserve"> i klimatyzatory, urządzenia grzewcze, grzewczo-wentylacyjne, chłodnicze, </w:t>
            </w:r>
            <w:proofErr w:type="spellStart"/>
            <w:r w:rsidRPr="00C45010">
              <w:rPr>
                <w:rFonts w:cstheme="minorHAnsi"/>
                <w:sz w:val="20"/>
                <w:szCs w:val="20"/>
              </w:rPr>
              <w:t>roofventy</w:t>
            </w:r>
            <w:proofErr w:type="spellEnd"/>
            <w:r w:rsidRPr="00C45010">
              <w:rPr>
                <w:rFonts w:cstheme="minorHAnsi"/>
                <w:sz w:val="20"/>
                <w:szCs w:val="20"/>
              </w:rPr>
              <w:t>,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 xml:space="preserve">(poprzez główne obiekty rozumie się: ściany szczelne, pale tymczasowe, kotwy, podpory, belki </w:t>
            </w:r>
            <w:proofErr w:type="spellStart"/>
            <w:r w:rsidRPr="00C45010">
              <w:rPr>
                <w:rFonts w:cstheme="minorHAnsi"/>
                <w:sz w:val="20"/>
                <w:szCs w:val="20"/>
              </w:rPr>
              <w:t>oczepowe</w:t>
            </w:r>
            <w:proofErr w:type="spellEnd"/>
            <w:r w:rsidRPr="00C45010">
              <w:rPr>
                <w:rFonts w:cstheme="minorHAnsi"/>
                <w:sz w:val="20"/>
                <w:szCs w:val="20"/>
              </w:rPr>
              <w:t xml:space="preserv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5" w:name="_Toc67930486"/>
      <w:bookmarkStart w:id="46" w:name="_Toc68183618"/>
      <w:r>
        <w:t>Szkolenia</w:t>
      </w:r>
      <w:bookmarkEnd w:id="45"/>
      <w:bookmarkEnd w:id="46"/>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7" w:name="_Toc68183619"/>
      <w:r w:rsidRPr="00475BC8">
        <w:t>Wymagania organizacyjne i dotyczące dostarczenia danych.</w:t>
      </w:r>
      <w:bookmarkEnd w:id="47"/>
    </w:p>
    <w:p w14:paraId="20718715" w14:textId="77777777" w:rsidR="00475BC8" w:rsidRDefault="00475BC8" w:rsidP="00475BC8">
      <w:pPr>
        <w:pStyle w:val="Nagwek2"/>
      </w:pPr>
      <w:bookmarkStart w:id="48" w:name="_Toc68183620"/>
      <w:r w:rsidRPr="00475BC8">
        <w:t>Harmonogram dostarczenia/wymiany danych</w:t>
      </w:r>
      <w:bookmarkEnd w:id="48"/>
    </w:p>
    <w:p w14:paraId="3E57E7B4" w14:textId="77777777" w:rsidR="00475BC8" w:rsidRDefault="00475BC8" w:rsidP="00475BC8">
      <w:pPr>
        <w:rPr>
          <w:rFonts w:cstheme="minorHAnsi"/>
        </w:rPr>
      </w:pPr>
      <w:r>
        <w:rPr>
          <w:rFonts w:cstheme="minorHAnsi"/>
        </w:rPr>
        <w:t>W związku z posiadaniem przez Zamawiającego modelu oraz dokumentacji projektowej harmonogram dostarczania danych zosta</w:t>
      </w:r>
      <w:r w:rsidR="00A74BC3">
        <w:rPr>
          <w:rFonts w:cstheme="minorHAnsi"/>
        </w:rPr>
        <w:t>nie</w:t>
      </w:r>
      <w:r>
        <w:rPr>
          <w:rFonts w:cstheme="minorHAnsi"/>
        </w:rPr>
        <w:t xml:space="preserve"> oparty o zapisy §3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4D60AB46" w14:textId="77777777" w:rsidR="00475BC8" w:rsidRDefault="00A45487" w:rsidP="00475BC8">
      <w:pPr>
        <w:rPr>
          <w:rFonts w:cstheme="minorHAnsi"/>
        </w:rPr>
      </w:pPr>
      <w:r>
        <w:rPr>
          <w:rFonts w:cstheme="minorHAnsi"/>
        </w:rPr>
        <w:lastRenderedPageBreak/>
        <w:t>Należy pamiętać, że poza terminami określonymi w umowie, Wykonawca opracuje i dostarczy:</w:t>
      </w:r>
    </w:p>
    <w:p w14:paraId="10976FD4" w14:textId="77777777" w:rsidR="00A45487" w:rsidRDefault="00483FB6" w:rsidP="00475BC8">
      <w:pPr>
        <w:rPr>
          <w:rFonts w:cstheme="minorHAnsi"/>
        </w:rPr>
      </w:pPr>
      <w:r>
        <w:rPr>
          <w:rFonts w:cstheme="minorHAnsi"/>
        </w:rPr>
        <w:t>BEP – 30 dni od podpisania umowy</w:t>
      </w:r>
    </w:p>
    <w:p w14:paraId="1CA9D1DD" w14:textId="77777777" w:rsidR="00475BC8" w:rsidRDefault="00483FB6" w:rsidP="00475BC8">
      <w:pPr>
        <w:rPr>
          <w:rFonts w:cstheme="minorHAnsi"/>
        </w:rPr>
      </w:pPr>
      <w:r>
        <w:rPr>
          <w:rFonts w:cstheme="minorHAnsi"/>
        </w:rPr>
        <w:t>CDE – 45 dni od podpisania umowy</w:t>
      </w:r>
    </w:p>
    <w:p w14:paraId="39E4C774" w14:textId="77777777" w:rsidR="00475BC8" w:rsidRDefault="00483FB6" w:rsidP="00475BC8">
      <w:pPr>
        <w:rPr>
          <w:rFonts w:cstheme="minorHAnsi"/>
        </w:rPr>
      </w:pPr>
      <w:r>
        <w:rPr>
          <w:rFonts w:cstheme="minorHAnsi"/>
        </w:rPr>
        <w:t>BIM 4D – 45 dni od podpisania umowy</w:t>
      </w:r>
    </w:p>
    <w:p w14:paraId="18C48183" w14:textId="77777777" w:rsidR="00475BC8" w:rsidRDefault="00483FB6" w:rsidP="00475BC8">
      <w:pPr>
        <w:rPr>
          <w:rFonts w:cstheme="minorHAnsi"/>
        </w:rPr>
      </w:pPr>
      <w:r>
        <w:rPr>
          <w:rFonts w:cstheme="minorHAnsi"/>
        </w:rPr>
        <w:t>BIM 5D – 45 dni od podpisania umowy</w:t>
      </w:r>
    </w:p>
    <w:p w14:paraId="45A9464C" w14:textId="77777777" w:rsidR="00483FB6" w:rsidRDefault="00483FB6" w:rsidP="00475BC8">
      <w:pPr>
        <w:rPr>
          <w:rFonts w:cstheme="minorHAnsi"/>
        </w:rPr>
      </w:pPr>
      <w:r>
        <w:rPr>
          <w:rFonts w:cstheme="minorHAnsi"/>
        </w:rPr>
        <w:t xml:space="preserve">BIM 7D – na etapie </w:t>
      </w:r>
      <w:r w:rsidR="00EA269F">
        <w:rPr>
          <w:rFonts w:cstheme="minorHAnsi"/>
        </w:rPr>
        <w:t>I</w:t>
      </w:r>
      <w:r>
        <w:rPr>
          <w:rFonts w:cstheme="minorHAnsi"/>
        </w:rPr>
        <w:t>X umowy</w:t>
      </w:r>
    </w:p>
    <w:p w14:paraId="09FAA4EF" w14:textId="77777777" w:rsidR="00475BC8" w:rsidRDefault="0049364E" w:rsidP="0049364E">
      <w:pPr>
        <w:pStyle w:val="Nagwek2"/>
      </w:pPr>
      <w:bookmarkStart w:id="49" w:name="_Toc68183621"/>
      <w:r w:rsidRPr="0049364E">
        <w:t>Wymagania dot. zakresu dokumentacji BIM projektu BIM</w:t>
      </w:r>
      <w:bookmarkEnd w:id="49"/>
    </w:p>
    <w:p w14:paraId="6F9617B3" w14:textId="77777777" w:rsidR="00EB4B31" w:rsidRPr="00EC55BC" w:rsidRDefault="00EB4B31" w:rsidP="002D6D71">
      <w:pPr>
        <w:pStyle w:val="Nagwek3"/>
      </w:pPr>
      <w:bookmarkStart w:id="50" w:name="_Toc67930490"/>
      <w:bookmarkStart w:id="51" w:name="_Toc68183622"/>
      <w:bookmarkStart w:id="52" w:name="_Hlk67909429"/>
      <w:r w:rsidRPr="00EC55BC">
        <w:t>Zakres modeli</w:t>
      </w:r>
      <w:bookmarkEnd w:id="50"/>
      <w:bookmarkEnd w:id="51"/>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lastRenderedPageBreak/>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3" w:name="_Toc67930491"/>
      <w:bookmarkStart w:id="54" w:name="_Toc68183623"/>
      <w:r w:rsidRPr="00AE5045">
        <w:t>Dokumentacja 2D rysunki i tabele</w:t>
      </w:r>
      <w:bookmarkEnd w:id="53"/>
      <w:bookmarkEnd w:id="54"/>
      <w:r w:rsidRPr="00AE5045">
        <w:t xml:space="preserve"> </w:t>
      </w:r>
    </w:p>
    <w:bookmarkEnd w:id="52"/>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5" w:name="_Toc67930492"/>
      <w:bookmarkStart w:id="56" w:name="_Toc68183624"/>
      <w:r w:rsidRPr="00EC55BC">
        <w:t>Model 3D dane geometryczne</w:t>
      </w:r>
      <w:bookmarkEnd w:id="55"/>
      <w:bookmarkEnd w:id="56"/>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7" w:name="_Toc67930493"/>
      <w:bookmarkStart w:id="58" w:name="_Toc68183625"/>
      <w:r w:rsidRPr="005A611D">
        <w:t>Model 4D harmonogram</w:t>
      </w:r>
      <w:bookmarkEnd w:id="57"/>
      <w:bookmarkEnd w:id="58"/>
    </w:p>
    <w:p w14:paraId="40B802EC" w14:textId="77777777" w:rsidR="00AE5045" w:rsidRPr="00EC55BC" w:rsidRDefault="00AE5045" w:rsidP="00EC55BC">
      <w:pPr>
        <w:jc w:val="both"/>
        <w:rPr>
          <w:rFonts w:cstheme="minorHAnsi"/>
          <w:b/>
          <w:bCs/>
          <w:color w:val="002060"/>
          <w:highlight w:val="yellow"/>
        </w:rPr>
      </w:pPr>
      <w:r>
        <w:t>Model powinien powstać poprzez połączenie Modelu 3D z harmonogramem. Model 3D powinien umożliwić powiązanie z każdym komponentem modelu składnika czasu w celu stworzenia wariantów harmonogramu realizacji. Model powinien umożliwić obserwację zmian w czasie zachodzących w obiekcie (modelu obiektu).</w:t>
      </w:r>
    </w:p>
    <w:p w14:paraId="6E54E894" w14:textId="77777777" w:rsidR="00A13CEE" w:rsidRDefault="00A13CEE" w:rsidP="002D6D71">
      <w:pPr>
        <w:pStyle w:val="Nagwek3"/>
      </w:pPr>
      <w:bookmarkStart w:id="59" w:name="_Toc67930494"/>
      <w:bookmarkStart w:id="60" w:name="_Toc68183626"/>
      <w:r w:rsidRPr="005A611D">
        <w:t>Model 5D kosztorysy</w:t>
      </w:r>
      <w:bookmarkEnd w:id="59"/>
      <w:bookmarkEnd w:id="60"/>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1" w:name="_Toc67930496"/>
      <w:bookmarkStart w:id="62" w:name="_Toc68183627"/>
      <w:r w:rsidRPr="00EE03B8">
        <w:t>Model 6D analizy energetyczne, komfort użytkowania</w:t>
      </w:r>
      <w:bookmarkEnd w:id="61"/>
      <w:bookmarkEnd w:id="62"/>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3" w:name="_Toc67930497"/>
      <w:bookmarkStart w:id="64" w:name="_Toc68183628"/>
      <w:r w:rsidRPr="00EE03B8">
        <w:t>Model 7D dane do zarządzania obiektem</w:t>
      </w:r>
      <w:bookmarkEnd w:id="63"/>
      <w:bookmarkEnd w:id="64"/>
    </w:p>
    <w:p w14:paraId="7EFAD1B9" w14:textId="77777777" w:rsidR="00C67201" w:rsidRPr="00EC55BC" w:rsidRDefault="00EE03B8" w:rsidP="00EC55BC">
      <w:pPr>
        <w:jc w:val="both"/>
        <w:rPr>
          <w:rFonts w:cstheme="minorHAnsi"/>
        </w:rPr>
      </w:pPr>
      <w:r>
        <w:rPr>
          <w:rFonts w:cstheme="minorHAnsi"/>
        </w:rPr>
        <w:lastRenderedPageBreak/>
        <w:t>Model będzie zawierał dane usprawniające zarządzanie obiektem na etapie jego eksploatacji</w:t>
      </w:r>
      <w:r w:rsidR="001D6F50">
        <w:rPr>
          <w:rFonts w:cstheme="minorHAnsi"/>
        </w:rPr>
        <w:t xml:space="preserve"> takie jak m.in.: </w:t>
      </w:r>
      <w:r w:rsidR="001D6F50" w:rsidRPr="001D6F50">
        <w:rPr>
          <w:rFonts w:cstheme="minorHAnsi"/>
          <w:bCs/>
        </w:rPr>
        <w:t>data montażu, termin gwarancji, dane teleadresowe firmy montującej, dane teleadresowe producenta, dane teleadresowe serwisanta, dane materiałowe, numer katalogowy, zapotrzebowania 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5" w:name="_Toc67930499"/>
      <w:bookmarkStart w:id="66" w:name="_Toc68183629"/>
      <w:r w:rsidRPr="00EC55BC">
        <w:t>Zmiany</w:t>
      </w:r>
      <w:bookmarkEnd w:id="65"/>
      <w:bookmarkEnd w:id="66"/>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7" w:name="_Toc68183630"/>
      <w:r w:rsidRPr="00DE368D">
        <w:t>Wymagania i ocena kompetencji dot. BIM</w:t>
      </w:r>
      <w:bookmarkEnd w:id="67"/>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2EB4" w14:textId="77777777" w:rsidR="00AB01A5" w:rsidRDefault="00AB01A5" w:rsidP="00E16919">
      <w:pPr>
        <w:spacing w:after="0" w:line="240" w:lineRule="auto"/>
      </w:pPr>
      <w:r>
        <w:separator/>
      </w:r>
    </w:p>
  </w:endnote>
  <w:endnote w:type="continuationSeparator" w:id="0">
    <w:p w14:paraId="1561906B" w14:textId="77777777" w:rsidR="00AB01A5" w:rsidRDefault="00AB01A5"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08466"/>
      <w:docPartObj>
        <w:docPartGallery w:val="Page Numbers (Bottom of Page)"/>
        <w:docPartUnique/>
      </w:docPartObj>
    </w:sdtPr>
    <w:sdtEndPr/>
    <w:sdtContent>
      <w:p w14:paraId="0E69BBD0" w14:textId="5599263E" w:rsidR="00771D16" w:rsidRDefault="00771D16">
        <w:pPr>
          <w:pStyle w:val="Stopka"/>
          <w:jc w:val="center"/>
        </w:pPr>
        <w:r>
          <w:fldChar w:fldCharType="begin"/>
        </w:r>
        <w:r>
          <w:instrText>PAGE   \* MERGEFORMAT</w:instrText>
        </w:r>
        <w:r>
          <w:fldChar w:fldCharType="separate"/>
        </w:r>
        <w:r w:rsidR="00C405CE">
          <w:rPr>
            <w:noProof/>
          </w:rPr>
          <w:t>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C57" w14:textId="77777777" w:rsidR="00AB01A5" w:rsidRDefault="00AB01A5" w:rsidP="00E16919">
      <w:pPr>
        <w:spacing w:after="0" w:line="240" w:lineRule="auto"/>
      </w:pPr>
      <w:r>
        <w:separator/>
      </w:r>
    </w:p>
  </w:footnote>
  <w:footnote w:type="continuationSeparator" w:id="0">
    <w:p w14:paraId="52992919" w14:textId="77777777" w:rsidR="00AB01A5" w:rsidRDefault="00AB01A5" w:rsidP="00E1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3"/>
  </w:num>
  <w:num w:numId="7">
    <w:abstractNumId w:val="7"/>
  </w:num>
  <w:num w:numId="8">
    <w:abstractNumId w:val="10"/>
  </w:num>
  <w:num w:numId="9">
    <w:abstractNumId w:val="27"/>
  </w:num>
  <w:num w:numId="10">
    <w:abstractNumId w:val="15"/>
  </w:num>
  <w:num w:numId="11">
    <w:abstractNumId w:val="16"/>
  </w:num>
  <w:num w:numId="12">
    <w:abstractNumId w:val="14"/>
  </w:num>
  <w:num w:numId="13">
    <w:abstractNumId w:val="26"/>
  </w:num>
  <w:num w:numId="14">
    <w:abstractNumId w:val="9"/>
  </w:num>
  <w:num w:numId="15">
    <w:abstractNumId w:val="13"/>
  </w:num>
  <w:num w:numId="16">
    <w:abstractNumId w:val="8"/>
  </w:num>
  <w:num w:numId="17">
    <w:abstractNumId w:val="2"/>
  </w:num>
  <w:num w:numId="18">
    <w:abstractNumId w:val="18"/>
  </w:num>
  <w:num w:numId="19">
    <w:abstractNumId w:val="12"/>
  </w:num>
  <w:num w:numId="20">
    <w:abstractNumId w:val="6"/>
  </w:num>
  <w:num w:numId="21">
    <w:abstractNumId w:val="17"/>
  </w:num>
  <w:num w:numId="22">
    <w:abstractNumId w:val="11"/>
  </w:num>
  <w:num w:numId="23">
    <w:abstractNumId w:val="5"/>
  </w:num>
  <w:num w:numId="24">
    <w:abstractNumId w:val="21"/>
  </w:num>
  <w:num w:numId="25">
    <w:abstractNumId w:val="1"/>
  </w:num>
  <w:num w:numId="26">
    <w:abstractNumId w:val="25"/>
  </w:num>
  <w:num w:numId="27">
    <w:abstractNumId w:val="19"/>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01"/>
    <w:rsid w:val="000055ED"/>
    <w:rsid w:val="00026590"/>
    <w:rsid w:val="000362E9"/>
    <w:rsid w:val="000378D6"/>
    <w:rsid w:val="0004545C"/>
    <w:rsid w:val="00067723"/>
    <w:rsid w:val="0007247E"/>
    <w:rsid w:val="000A35AB"/>
    <w:rsid w:val="000F28A9"/>
    <w:rsid w:val="00117764"/>
    <w:rsid w:val="00130470"/>
    <w:rsid w:val="001446F2"/>
    <w:rsid w:val="001509AB"/>
    <w:rsid w:val="001556D4"/>
    <w:rsid w:val="00175525"/>
    <w:rsid w:val="001C4F11"/>
    <w:rsid w:val="001C566C"/>
    <w:rsid w:val="001C5A22"/>
    <w:rsid w:val="001D6F50"/>
    <w:rsid w:val="001E4243"/>
    <w:rsid w:val="001F18CB"/>
    <w:rsid w:val="001F4E91"/>
    <w:rsid w:val="00210274"/>
    <w:rsid w:val="0021481B"/>
    <w:rsid w:val="0022008F"/>
    <w:rsid w:val="00267163"/>
    <w:rsid w:val="00286DE2"/>
    <w:rsid w:val="00292025"/>
    <w:rsid w:val="002A0C52"/>
    <w:rsid w:val="002A2EB6"/>
    <w:rsid w:val="002D0FEC"/>
    <w:rsid w:val="002D6D71"/>
    <w:rsid w:val="002E22DD"/>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75BC8"/>
    <w:rsid w:val="00483FB6"/>
    <w:rsid w:val="0049364E"/>
    <w:rsid w:val="0049659D"/>
    <w:rsid w:val="004B42D1"/>
    <w:rsid w:val="004D4B95"/>
    <w:rsid w:val="00597F8C"/>
    <w:rsid w:val="005A611D"/>
    <w:rsid w:val="00611415"/>
    <w:rsid w:val="00630331"/>
    <w:rsid w:val="006360EB"/>
    <w:rsid w:val="00662AE3"/>
    <w:rsid w:val="00667205"/>
    <w:rsid w:val="006723C4"/>
    <w:rsid w:val="00695573"/>
    <w:rsid w:val="006D5250"/>
    <w:rsid w:val="006E0EF9"/>
    <w:rsid w:val="006E1365"/>
    <w:rsid w:val="0073029F"/>
    <w:rsid w:val="00771D16"/>
    <w:rsid w:val="007813D4"/>
    <w:rsid w:val="00797A0C"/>
    <w:rsid w:val="007A334F"/>
    <w:rsid w:val="00816389"/>
    <w:rsid w:val="0084781D"/>
    <w:rsid w:val="00847CC0"/>
    <w:rsid w:val="008831A9"/>
    <w:rsid w:val="00884C0F"/>
    <w:rsid w:val="008A4420"/>
    <w:rsid w:val="008A4D8A"/>
    <w:rsid w:val="008B33FD"/>
    <w:rsid w:val="008B4330"/>
    <w:rsid w:val="008C706E"/>
    <w:rsid w:val="008E45B3"/>
    <w:rsid w:val="008F0843"/>
    <w:rsid w:val="008F765F"/>
    <w:rsid w:val="009279C3"/>
    <w:rsid w:val="0094207B"/>
    <w:rsid w:val="00943033"/>
    <w:rsid w:val="009529BC"/>
    <w:rsid w:val="009551B5"/>
    <w:rsid w:val="00997506"/>
    <w:rsid w:val="0099757C"/>
    <w:rsid w:val="009B2AA2"/>
    <w:rsid w:val="009B42AC"/>
    <w:rsid w:val="009C7F5E"/>
    <w:rsid w:val="009D6E57"/>
    <w:rsid w:val="009E3746"/>
    <w:rsid w:val="00A13CEE"/>
    <w:rsid w:val="00A32E56"/>
    <w:rsid w:val="00A42962"/>
    <w:rsid w:val="00A45487"/>
    <w:rsid w:val="00A503D8"/>
    <w:rsid w:val="00A74BC3"/>
    <w:rsid w:val="00A851D0"/>
    <w:rsid w:val="00A91D78"/>
    <w:rsid w:val="00A9444B"/>
    <w:rsid w:val="00AB01A5"/>
    <w:rsid w:val="00AB3AF5"/>
    <w:rsid w:val="00AC4099"/>
    <w:rsid w:val="00AC41F4"/>
    <w:rsid w:val="00AE4DF9"/>
    <w:rsid w:val="00AE5045"/>
    <w:rsid w:val="00B01D53"/>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E3B0D"/>
    <w:rsid w:val="00D03D05"/>
    <w:rsid w:val="00D23A97"/>
    <w:rsid w:val="00D5357A"/>
    <w:rsid w:val="00D613D4"/>
    <w:rsid w:val="00D86293"/>
    <w:rsid w:val="00D87487"/>
    <w:rsid w:val="00D87B21"/>
    <w:rsid w:val="00DA18AD"/>
    <w:rsid w:val="00DC1FC2"/>
    <w:rsid w:val="00DC6DA2"/>
    <w:rsid w:val="00DD22AF"/>
    <w:rsid w:val="00DE368D"/>
    <w:rsid w:val="00E12D9E"/>
    <w:rsid w:val="00E16919"/>
    <w:rsid w:val="00E23C07"/>
    <w:rsid w:val="00E3598F"/>
    <w:rsid w:val="00E57337"/>
    <w:rsid w:val="00E97675"/>
    <w:rsid w:val="00EA269F"/>
    <w:rsid w:val="00EB4B31"/>
    <w:rsid w:val="00EC55BC"/>
    <w:rsid w:val="00EE03B8"/>
    <w:rsid w:val="00EE5679"/>
    <w:rsid w:val="00EF5FE2"/>
    <w:rsid w:val="00FA21D0"/>
    <w:rsid w:val="00FC29B1"/>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AAFF-7830-4489-88A8-A0A0878D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8141</Words>
  <Characters>48849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Janusz Kokoszko</cp:lastModifiedBy>
  <cp:revision>3</cp:revision>
  <dcterms:created xsi:type="dcterms:W3CDTF">2021-07-01T10:47:00Z</dcterms:created>
  <dcterms:modified xsi:type="dcterms:W3CDTF">2022-01-18T14:05:00Z</dcterms:modified>
</cp:coreProperties>
</file>