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A30671">
        <w:rPr>
          <w:rFonts w:ascii="Garamond" w:eastAsia="Times New Roman" w:hAnsi="Garamond" w:cs="Times New Roman"/>
          <w:lang w:eastAsia="pl-PL"/>
        </w:rPr>
        <w:t>04.10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do dnia </w:t>
      </w:r>
      <w:r w:rsidR="00A30671">
        <w:rPr>
          <w:rFonts w:ascii="Garamond" w:eastAsia="Calibri" w:hAnsi="Garamond" w:cs="Times New Roman"/>
          <w:b/>
          <w:bCs/>
          <w:color w:val="000000"/>
          <w:lang w:eastAsia="pl-PL"/>
        </w:rPr>
        <w:t>20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A30671">
        <w:rPr>
          <w:rFonts w:ascii="Garamond" w:eastAsia="Calibri" w:hAnsi="Garamond" w:cs="Times New Roman"/>
          <w:b/>
          <w:bCs/>
          <w:color w:val="000000"/>
          <w:lang w:eastAsia="pl-PL"/>
        </w:rPr>
        <w:t>w dniu 20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A30671">
        <w:rPr>
          <w:rFonts w:ascii="Garamond" w:eastAsia="Calibri" w:hAnsi="Garamond" w:cs="Times New Roman"/>
          <w:b/>
          <w:bCs/>
          <w:color w:val="000000"/>
          <w:lang w:eastAsia="pl-PL"/>
        </w:rPr>
        <w:t>do dnia 17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bookmarkStart w:id="0" w:name="_GoBack"/>
      <w:bookmarkEnd w:id="0"/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6C" w:rsidRDefault="009D136C" w:rsidP="00E22E7B">
      <w:pPr>
        <w:spacing w:after="0" w:line="240" w:lineRule="auto"/>
      </w:pPr>
      <w:r>
        <w:separator/>
      </w:r>
    </w:p>
  </w:endnote>
  <w:endnote w:type="continuationSeparator" w:id="0">
    <w:p w:rsidR="009D136C" w:rsidRDefault="009D136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6C" w:rsidRDefault="009D136C" w:rsidP="00E22E7B">
      <w:pPr>
        <w:spacing w:after="0" w:line="240" w:lineRule="auto"/>
      </w:pPr>
      <w:r>
        <w:separator/>
      </w:r>
    </w:p>
  </w:footnote>
  <w:footnote w:type="continuationSeparator" w:id="0">
    <w:p w:rsidR="009D136C" w:rsidRDefault="009D136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E4FB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34BB2-18E6-471E-A114-2F0F8C50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6</cp:revision>
  <cp:lastPrinted>2022-10-04T09:17:00Z</cp:lastPrinted>
  <dcterms:created xsi:type="dcterms:W3CDTF">2022-09-23T10:14:00Z</dcterms:created>
  <dcterms:modified xsi:type="dcterms:W3CDTF">2022-10-04T09:17:00Z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