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B2" w:rsidRPr="0009350D" w:rsidRDefault="00A112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Część </w:t>
      </w:r>
      <w:r w:rsidR="00D06421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A0267" w:rsidRPr="00093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A0267" w:rsidRDefault="00FA0267"/>
    <w:p w:rsidR="00FA0267" w:rsidRDefault="00793C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50D">
        <w:rPr>
          <w:rFonts w:ascii="Times New Roman" w:hAnsi="Times New Roman" w:cs="Times New Roman"/>
          <w:b/>
          <w:sz w:val="28"/>
          <w:szCs w:val="28"/>
          <w:u w:val="single"/>
        </w:rPr>
        <w:t>Jest</w:t>
      </w:r>
      <w:r w:rsidR="00FA0267" w:rsidRPr="0009350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A11217" w:rsidRPr="00E27C80" w:rsidTr="00A11217">
        <w:trPr>
          <w:tblHeader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7C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27C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Cecha,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funkcja, parametr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</w:t>
            </w:r>
          </w:p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Wymagany</w:t>
            </w:r>
          </w:p>
        </w:tc>
      </w:tr>
      <w:tr w:rsidR="00A11217" w:rsidRPr="00E27C80" w:rsidTr="00A11217">
        <w:trPr>
          <w:trHeight w:val="227"/>
        </w:trPr>
        <w:tc>
          <w:tcPr>
            <w:tcW w:w="9634" w:type="dxa"/>
            <w:gridSpan w:val="3"/>
            <w:shd w:val="clear" w:color="auto" w:fill="DEEAF6" w:themeFill="accent1" w:themeFillTint="33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V. Urządzenia do pomiaru dawki promieniowania</w:t>
            </w:r>
          </w:p>
        </w:tc>
      </w:tr>
      <w:tr w:rsidR="00A11217" w:rsidRPr="00E27C80" w:rsidTr="00A11217">
        <w:trPr>
          <w:trHeight w:val="227"/>
        </w:trPr>
        <w:tc>
          <w:tcPr>
            <w:tcW w:w="9634" w:type="dxa"/>
            <w:gridSpan w:val="3"/>
            <w:shd w:val="clear" w:color="auto" w:fill="auto"/>
          </w:tcPr>
          <w:p w:rsidR="00A11217" w:rsidRPr="001100EE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00EE">
              <w:rPr>
                <w:rFonts w:ascii="Arial" w:eastAsia="Calibri" w:hAnsi="Arial" w:cs="Arial"/>
                <w:b/>
                <w:sz w:val="20"/>
                <w:szCs w:val="20"/>
              </w:rPr>
              <w:t>Indywidualny dawkomierz osobisty promieniowania gamma i neutronowego – 20 szt.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Przyrząd zgodny z normą NO-42-A204:2014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4BE3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Wyrób wyprodukowany w 2023 roku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4BE3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>Sprzęt w dniu odbioru musi być uruchomiony i gotowy do pracy w pełnym wymaganym zakresie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4BE3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090870" w:rsidRDefault="00A11217" w:rsidP="00C00132">
            <w:pPr>
              <w:autoSpaceDE w:val="0"/>
              <w:autoSpaceDN w:val="0"/>
              <w:adjustRightInd w:val="0"/>
              <w:ind w:left="29" w:hanging="29"/>
              <w:rPr>
                <w:rFonts w:ascii="Arial" w:eastAsia="Calibri" w:hAnsi="Arial" w:cs="Arial"/>
                <w:sz w:val="20"/>
                <w:szCs w:val="20"/>
              </w:rPr>
            </w:pPr>
            <w:r w:rsidRPr="0079022B">
              <w:rPr>
                <w:rFonts w:ascii="Arial" w:eastAsia="Calibri" w:hAnsi="Arial" w:cs="Arial"/>
                <w:sz w:val="20"/>
                <w:szCs w:val="20"/>
              </w:rPr>
              <w:t>złącze elektroniczne umożliwiające połą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czenie dawkomierza z dedykowanym czytnikiem </w:t>
            </w:r>
            <w:r w:rsidRPr="0079022B">
              <w:rPr>
                <w:rFonts w:ascii="Arial" w:eastAsia="Calibri" w:hAnsi="Arial" w:cs="Arial"/>
                <w:sz w:val="20"/>
                <w:szCs w:val="20"/>
              </w:rPr>
              <w:t>oraz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9022B">
              <w:rPr>
                <w:rFonts w:ascii="Arial" w:eastAsia="Calibri" w:hAnsi="Arial" w:cs="Arial"/>
                <w:sz w:val="20"/>
                <w:szCs w:val="20"/>
              </w:rPr>
              <w:t>innymi urządzeniami zewnętrznymi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wskazanymi w części V pkt. dotyczący - </w:t>
            </w:r>
            <w:r w:rsidRPr="0079022B">
              <w:rPr>
                <w:rFonts w:ascii="Arial" w:eastAsia="Calibri" w:hAnsi="Arial" w:cs="Arial"/>
                <w:sz w:val="20"/>
                <w:szCs w:val="20"/>
              </w:rPr>
              <w:t>Czytnik indywidualnych dawkomierzy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4BE3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Sygnalizacja alarmowa minimum dźwiękiem i optycznie z możliwością wyłączenia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>Zasilanie akumulatorowe lub bateryjne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Masa max. 60 g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Minimalny zakres temperatur  pracy od -20</w:t>
            </w:r>
            <w:r w:rsidRPr="0099083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0</w:t>
            </w:r>
            <w:r w:rsidRPr="0099083C">
              <w:rPr>
                <w:rFonts w:ascii="Arial" w:eastAsia="Calibri" w:hAnsi="Arial" w:cs="Arial"/>
                <w:sz w:val="20"/>
                <w:szCs w:val="20"/>
              </w:rPr>
              <w:t>C do +50</w:t>
            </w:r>
            <w:r w:rsidRPr="0099083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0</w:t>
            </w:r>
            <w:r w:rsidRPr="0099083C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Wodoszczelny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>detekcja impulsowego promieniowania gamma przy wykorzystaniu detektora pasywnego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 xml:space="preserve">zakres pomiaru dawki impulsowego promieniowania gamma - l0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cGy</w:t>
            </w:r>
            <w:proofErr w:type="spellEnd"/>
            <w:r w:rsidRPr="0099083C">
              <w:rPr>
                <w:rFonts w:ascii="Arial" w:hAnsi="Arial" w:cs="Arial"/>
                <w:sz w:val="20"/>
                <w:szCs w:val="20"/>
              </w:rPr>
              <w:t xml:space="preserve"> do l0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36" w:hanging="36"/>
              <w:rPr>
                <w:rFonts w:ascii="Arial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 xml:space="preserve">zakres pomiaru dawki impulsowego promieniowania neutronowego - l0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cGy</w:t>
            </w:r>
            <w:proofErr w:type="spellEnd"/>
            <w:r w:rsidRPr="0099083C">
              <w:rPr>
                <w:rFonts w:ascii="Arial" w:hAnsi="Arial" w:cs="Arial"/>
                <w:sz w:val="20"/>
                <w:szCs w:val="20"/>
              </w:rPr>
              <w:t xml:space="preserve"> do l0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36" w:hanging="36"/>
              <w:rPr>
                <w:rFonts w:ascii="Arial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 xml:space="preserve">zakres energetyczny impulsowego promieniowania gamma i neutronowego  - do 14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MeV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 xml:space="preserve">detekcja wtórnego promieniowania gamma  -  60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keV</w:t>
            </w:r>
            <w:proofErr w:type="spellEnd"/>
            <w:r w:rsidRPr="0099083C">
              <w:rPr>
                <w:rFonts w:ascii="Arial" w:hAnsi="Arial" w:cs="Arial"/>
                <w:sz w:val="20"/>
                <w:szCs w:val="20"/>
              </w:rPr>
              <w:t xml:space="preserve"> do 6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MeV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 xml:space="preserve">zakres pomiaru dawki  wtórnego promieniowania gamma  - od poziomu tła do l0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Sv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>wyświetlanie dawki na wyświetlaczu (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mSv</w:t>
            </w:r>
            <w:proofErr w:type="spellEnd"/>
            <w:r w:rsidRPr="009908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cGy</w:t>
            </w:r>
            <w:proofErr w:type="spellEnd"/>
            <w:r w:rsidRPr="0099083C">
              <w:rPr>
                <w:rFonts w:ascii="Arial" w:hAnsi="Arial" w:cs="Arial"/>
                <w:sz w:val="20"/>
                <w:szCs w:val="20"/>
              </w:rPr>
              <w:t xml:space="preserve">)   od 0,00l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mSv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>wyświetlanie mocy dawki (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mSv</w:t>
            </w:r>
            <w:proofErr w:type="spellEnd"/>
            <w:r w:rsidRPr="0099083C">
              <w:rPr>
                <w:rFonts w:ascii="Arial" w:hAnsi="Arial" w:cs="Arial"/>
                <w:sz w:val="20"/>
                <w:szCs w:val="20"/>
              </w:rPr>
              <w:t xml:space="preserve">/h,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cGy</w:t>
            </w:r>
            <w:proofErr w:type="spellEnd"/>
            <w:r w:rsidRPr="0099083C">
              <w:rPr>
                <w:rFonts w:ascii="Arial" w:hAnsi="Arial" w:cs="Arial"/>
                <w:sz w:val="20"/>
                <w:szCs w:val="20"/>
              </w:rPr>
              <w:t xml:space="preserve">/h) -  opcja podstawowa - od 0,01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mSv</w:t>
            </w:r>
            <w:proofErr w:type="spellEnd"/>
            <w:r w:rsidRPr="0099083C">
              <w:rPr>
                <w:rFonts w:ascii="Arial" w:hAnsi="Arial" w:cs="Arial"/>
                <w:sz w:val="20"/>
                <w:szCs w:val="20"/>
              </w:rPr>
              <w:t xml:space="preserve">/h do   l0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Sv</w:t>
            </w:r>
            <w:proofErr w:type="spellEnd"/>
            <w:r w:rsidRPr="0099083C">
              <w:rPr>
                <w:rFonts w:ascii="Arial" w:hAnsi="Arial" w:cs="Arial"/>
                <w:sz w:val="20"/>
                <w:szCs w:val="20"/>
              </w:rPr>
              <w:t xml:space="preserve">/h, niskie dawki – LLR od 0,001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mSv</w:t>
            </w:r>
            <w:proofErr w:type="spellEnd"/>
            <w:r w:rsidRPr="0099083C">
              <w:rPr>
                <w:rFonts w:ascii="Arial" w:hAnsi="Arial" w:cs="Arial"/>
                <w:sz w:val="20"/>
                <w:szCs w:val="20"/>
              </w:rPr>
              <w:t xml:space="preserve">/h do l0 </w:t>
            </w:r>
            <w:proofErr w:type="spellStart"/>
            <w:r w:rsidRPr="0099083C">
              <w:rPr>
                <w:rFonts w:ascii="Arial" w:hAnsi="Arial" w:cs="Arial"/>
                <w:sz w:val="20"/>
                <w:szCs w:val="20"/>
              </w:rPr>
              <w:t>Sv</w:t>
            </w:r>
            <w:proofErr w:type="spellEnd"/>
            <w:r w:rsidRPr="0099083C">
              <w:rPr>
                <w:rFonts w:ascii="Arial" w:hAnsi="Arial" w:cs="Arial"/>
                <w:sz w:val="20"/>
                <w:szCs w:val="20"/>
              </w:rPr>
              <w:t>/h;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>detekcja impulsów od wybuchów jądrowych oraz ich archiwizowanie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>odporność na impuls elektromagnetyczny wybuchu jądrowego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BD4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Okres pogwarancyjny – dostępność części 5 lat po zakończeniu okresu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Czas reakcji serwisu na zgłoszoną awarię w okresie gwarancyjnym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72 h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A11217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1217">
              <w:rPr>
                <w:rFonts w:ascii="Arial" w:eastAsia="Calibri" w:hAnsi="Arial" w:cs="Arial"/>
                <w:b/>
                <w:sz w:val="20"/>
                <w:szCs w:val="20"/>
              </w:rPr>
              <w:t>Czas naprawy urządzenia w okresie pogwarancyjnym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1217"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  <w:r w:rsidRPr="00A11217">
              <w:rPr>
                <w:rFonts w:ascii="Arial" w:eastAsia="Calibri" w:hAnsi="Arial" w:cs="Arial"/>
                <w:b/>
                <w:sz w:val="20"/>
                <w:szCs w:val="20"/>
              </w:rPr>
              <w:t xml:space="preserve"> dni</w:t>
            </w:r>
            <w:r w:rsidRPr="00A11217">
              <w:rPr>
                <w:rFonts w:ascii="Arial" w:eastAsia="Calibri" w:hAnsi="Arial" w:cs="Arial"/>
                <w:b/>
                <w:sz w:val="20"/>
                <w:szCs w:val="20"/>
              </w:rPr>
              <w:t xml:space="preserve"> roboczych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W okresie gwarancji wymiana urządzenia na fabrycznie nowe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 3 krotnej naprawie tej samej części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Przekazanie urządzenia do naprawy gwarancyjnej „</w:t>
            </w:r>
            <w:proofErr w:type="spellStart"/>
            <w:r w:rsidRPr="0099083C">
              <w:rPr>
                <w:rFonts w:ascii="Arial" w:eastAsia="Calibri" w:hAnsi="Arial" w:cs="Arial"/>
                <w:sz w:val="20"/>
                <w:szCs w:val="20"/>
              </w:rPr>
              <w:t>door</w:t>
            </w:r>
            <w:proofErr w:type="spellEnd"/>
            <w:r w:rsidRPr="0099083C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 w:rsidRPr="0099083C">
              <w:rPr>
                <w:rFonts w:ascii="Arial" w:eastAsia="Calibri" w:hAnsi="Arial" w:cs="Arial"/>
                <w:sz w:val="20"/>
                <w:szCs w:val="20"/>
              </w:rPr>
              <w:t>door</w:t>
            </w:r>
            <w:proofErr w:type="spellEnd"/>
            <w:r w:rsidRPr="0099083C">
              <w:rPr>
                <w:rFonts w:ascii="Arial" w:eastAsia="Calibri" w:hAnsi="Arial" w:cs="Arial"/>
                <w:sz w:val="20"/>
                <w:szCs w:val="20"/>
              </w:rPr>
              <w:t>” na koszt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5F13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Szkolenie dla obsługi zamawiającego – liczba osób do 5 bezpośrednio po uruchomieniu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5F13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5F13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79022B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Do wyrobu dołączona: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11217" w:rsidRPr="0079022B" w:rsidRDefault="00A11217" w:rsidP="00C00132">
            <w:pPr>
              <w:pStyle w:val="Akapitzlist"/>
              <w:autoSpaceDE w:val="0"/>
              <w:autoSpaceDN w:val="0"/>
              <w:adjustRightInd w:val="0"/>
              <w:ind w:left="360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A11217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12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dokumentacja techniczno-eksploatacyjna w języku polskim w wykonaniu książkowym i na nośniku elektronicznym – CD-ROM, pendrive (dane taktyczno-techniczne, instrukcja użytkowania, przechowywania, obsługiwania, naprawy, wymagania meteorologiczne)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1217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vMerge/>
            <w:shd w:val="clear" w:color="auto" w:fill="auto"/>
          </w:tcPr>
          <w:p w:rsidR="00A11217" w:rsidRPr="0000210E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oprogramowanie serwisowe (jeżeli występuje) umożliwiające łączność z przyrządem i dokonywanie korekt w ustawieniach użytkowych przyrządu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6092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vMerge/>
            <w:shd w:val="clear" w:color="auto" w:fill="auto"/>
          </w:tcPr>
          <w:p w:rsidR="00A11217" w:rsidRPr="0000210E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karta gwarancyjna z numerem i datą produkcji przyrządu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6092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217" w:rsidRPr="0000210E" w:rsidRDefault="00A11217" w:rsidP="00A112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aktualne świadectwo wzorcowania z interpretacją wyników (z jednoznaczną oceną czy w sensie metrologicznym wyrób jest sprawny) – jeśli jest wymagane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6092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1056">
              <w:rPr>
                <w:rFonts w:ascii="Arial" w:eastAsia="Calibri" w:hAnsi="Arial" w:cs="Arial"/>
                <w:b/>
                <w:sz w:val="20"/>
                <w:szCs w:val="20"/>
              </w:rPr>
              <w:t xml:space="preserve">Materiały eksploatacyjne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do i</w:t>
            </w:r>
            <w:r w:rsidRPr="001100EE">
              <w:rPr>
                <w:rFonts w:ascii="Arial" w:eastAsia="Calibri" w:hAnsi="Arial" w:cs="Arial"/>
                <w:b/>
                <w:sz w:val="20"/>
                <w:szCs w:val="20"/>
              </w:rPr>
              <w:t>ndywidualn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ego</w:t>
            </w:r>
            <w:r w:rsidRPr="001100EE">
              <w:rPr>
                <w:rFonts w:ascii="Arial" w:eastAsia="Calibri" w:hAnsi="Arial" w:cs="Arial"/>
                <w:b/>
                <w:sz w:val="20"/>
                <w:szCs w:val="20"/>
              </w:rPr>
              <w:t xml:space="preserve"> dawkomierz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1100EE">
              <w:rPr>
                <w:rFonts w:ascii="Arial" w:eastAsia="Calibri" w:hAnsi="Arial" w:cs="Arial"/>
                <w:b/>
                <w:sz w:val="20"/>
                <w:szCs w:val="20"/>
              </w:rPr>
              <w:t xml:space="preserve"> osobist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ego</w:t>
            </w:r>
            <w:r w:rsidRPr="001100EE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promieniowania gamma i neutronowego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Smycz do noszenia przyrządu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55AA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Klips umożliwiający przypięcie urządzenia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55AA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</w:t>
            </w: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>Etui do zamocowania na ramieniu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55AA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9634" w:type="dxa"/>
            <w:gridSpan w:val="3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Czytnik indywidualnych dawkomierzy – 1 szt.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Przyrząd zgodny z normą NO-42-A204:2014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4253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Wyrób wyprodukowany w 2023 roku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4253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>Sprzęt w dniu odbioru musi być uruchomiony i gotowy do pracy w pełnym wymaganym zakresie;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4253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022B">
              <w:rPr>
                <w:rFonts w:ascii="Arial" w:eastAsia="Calibri" w:hAnsi="Arial" w:cs="Arial"/>
                <w:sz w:val="20"/>
                <w:szCs w:val="20"/>
              </w:rPr>
              <w:t>złącze elektroniczne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(gniazdo dawkomierzy)</w:t>
            </w:r>
            <w:r w:rsidRPr="0079022B">
              <w:rPr>
                <w:rFonts w:ascii="Arial" w:eastAsia="Calibri" w:hAnsi="Arial" w:cs="Arial"/>
                <w:sz w:val="20"/>
                <w:szCs w:val="20"/>
              </w:rPr>
              <w:t xml:space="preserve"> umożliwiające połą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czenie czytnika z dawkomierzem wskazanym w części V dotyczącej  - </w:t>
            </w:r>
            <w:r w:rsidRPr="0000210E">
              <w:rPr>
                <w:rFonts w:ascii="Arial" w:eastAsia="Calibri" w:hAnsi="Arial" w:cs="Arial"/>
                <w:sz w:val="20"/>
                <w:szCs w:val="20"/>
              </w:rPr>
              <w:t>Indywidualny dawkomierz osobisty promieniowani</w:t>
            </w:r>
            <w:r>
              <w:rPr>
                <w:rFonts w:ascii="Arial" w:eastAsia="Calibri" w:hAnsi="Arial" w:cs="Arial"/>
                <w:sz w:val="20"/>
                <w:szCs w:val="20"/>
              </w:rPr>
              <w:t>a gamma i neutronowego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4253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hAnsi="Arial" w:cs="Arial"/>
                <w:sz w:val="20"/>
                <w:szCs w:val="20"/>
              </w:rPr>
              <w:t>Zasilanie akumulatorowe lub bateryjne i sieciowe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4B09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Masa max. 2,5 kg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4B09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Minimalny zakres temperatur  pracy od -40</w:t>
            </w:r>
            <w:r w:rsidRPr="0099083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0</w:t>
            </w:r>
            <w:r w:rsidRPr="0099083C">
              <w:rPr>
                <w:rFonts w:ascii="Arial" w:eastAsia="Calibri" w:hAnsi="Arial" w:cs="Arial"/>
                <w:sz w:val="20"/>
                <w:szCs w:val="20"/>
              </w:rPr>
              <w:t>C do +50</w:t>
            </w:r>
            <w:r w:rsidRPr="0099083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0</w:t>
            </w:r>
            <w:r w:rsidRPr="0099083C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4B09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Przyrząd wyposażony jest w port komunikacyjny umożliwiający podłączenie go do urządzenia przetwarzającego dane z pomiarów (laptop, PC) wraz z przewodem komunikacyjnym, jeśli taki jest wymagany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4B09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Wskaźniki LCD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4B09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Nieprzerwany czas pracy na jednym komplecie baterii min. 12 godzin</w:t>
            </w:r>
          </w:p>
        </w:tc>
        <w:tc>
          <w:tcPr>
            <w:tcW w:w="1701" w:type="dxa"/>
            <w:shd w:val="clear" w:color="auto" w:fill="auto"/>
          </w:tcPr>
          <w:p w:rsid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4B09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Okres pogwarancyjny – dostępność części 5 lat po zakończeniu okresu gwarancji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4796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Czas reakcji serwisu na zgłoszoną awarię w okresie gwarancyjnym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72 h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A11217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1217">
              <w:rPr>
                <w:rFonts w:ascii="Arial" w:eastAsia="Calibri" w:hAnsi="Arial" w:cs="Arial"/>
                <w:b/>
                <w:sz w:val="20"/>
                <w:szCs w:val="20"/>
              </w:rPr>
              <w:t>Czas naprawy urządzenia w okresie pogwarancyjnym</w:t>
            </w:r>
          </w:p>
        </w:tc>
        <w:tc>
          <w:tcPr>
            <w:tcW w:w="1701" w:type="dxa"/>
            <w:shd w:val="clear" w:color="auto" w:fill="auto"/>
          </w:tcPr>
          <w:p w:rsidR="00A11217" w:rsidRP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1217"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  <w:r w:rsidRPr="00A11217">
              <w:rPr>
                <w:rFonts w:ascii="Arial" w:eastAsia="Calibri" w:hAnsi="Arial" w:cs="Arial"/>
                <w:b/>
                <w:sz w:val="20"/>
                <w:szCs w:val="20"/>
              </w:rPr>
              <w:t xml:space="preserve"> dni</w:t>
            </w:r>
            <w:r w:rsidRPr="00A11217">
              <w:rPr>
                <w:rFonts w:ascii="Arial" w:eastAsia="Calibri" w:hAnsi="Arial" w:cs="Arial"/>
                <w:b/>
                <w:sz w:val="20"/>
                <w:szCs w:val="20"/>
              </w:rPr>
              <w:t xml:space="preserve"> roboczych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W okresie gwarancji wymiana urządzenia na fabrycznie nowe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 3 krotnej naprawie tej samej części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Przekazanie urządzenia do naprawy gwarancyjnej „</w:t>
            </w:r>
            <w:proofErr w:type="spellStart"/>
            <w:r w:rsidRPr="0099083C">
              <w:rPr>
                <w:rFonts w:ascii="Arial" w:eastAsia="Calibri" w:hAnsi="Arial" w:cs="Arial"/>
                <w:sz w:val="20"/>
                <w:szCs w:val="20"/>
              </w:rPr>
              <w:t>door</w:t>
            </w:r>
            <w:proofErr w:type="spellEnd"/>
            <w:r w:rsidRPr="0099083C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 w:rsidRPr="0099083C">
              <w:rPr>
                <w:rFonts w:ascii="Arial" w:eastAsia="Calibri" w:hAnsi="Arial" w:cs="Arial"/>
                <w:sz w:val="20"/>
                <w:szCs w:val="20"/>
              </w:rPr>
              <w:t>door</w:t>
            </w:r>
            <w:proofErr w:type="spellEnd"/>
            <w:r w:rsidRPr="0099083C">
              <w:rPr>
                <w:rFonts w:ascii="Arial" w:eastAsia="Calibri" w:hAnsi="Arial" w:cs="Arial"/>
                <w:sz w:val="20"/>
                <w:szCs w:val="20"/>
              </w:rPr>
              <w:t>” na koszt wykonawcy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4796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Szkolenie dla obsługi zamawiającego – liczba osób do 5 bezpośrednio po uruchomieniu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4796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4796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Do wyrobu dołączona: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vMerge/>
            <w:shd w:val="clear" w:color="auto" w:fill="auto"/>
            <w:vAlign w:val="center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A11217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12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dokumentacja techniczno-eksploatacyjna w języku polskim w wykonaniu książkowym i na nośniku elektronicznym – CD-ROM, pendrive (dane taktyczno-techniczne, instrukcja użytkowania, przechowywania, obsługiwania, naprawy, wymagania meteorologiczne)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1217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vMerge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oprogramowanie serwisowe (jeżeli występuje) umożliwiające łączność z przyrządem i dokonywanie korekt w ustawieniach użytkowych przyrządu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479D1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vMerge/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99083C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99083C">
              <w:rPr>
                <w:rFonts w:ascii="Arial" w:eastAsia="Calibri" w:hAnsi="Arial" w:cs="Arial"/>
                <w:sz w:val="20"/>
                <w:szCs w:val="20"/>
              </w:rPr>
              <w:t>karta gwarancyjna z numerem i datą produkcji przyrządu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479D1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217" w:rsidRPr="0016287D" w:rsidRDefault="00A11217" w:rsidP="00A11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217" w:rsidRPr="00A11217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12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aktualne świadectwo z badań sprawdzających (</w:t>
            </w:r>
            <w:proofErr w:type="spellStart"/>
            <w:r w:rsidRPr="00A112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CoC</w:t>
            </w:r>
            <w:proofErr w:type="spellEnd"/>
            <w:r w:rsidRPr="00A112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producenta) z oceną czy w sensie funkcjonalnym wyrób jest sprawny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1217" w:rsidRP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r w:rsidRPr="00A11217">
              <w:rPr>
                <w:rFonts w:ascii="Arial" w:eastAsia="Calibri" w:hAnsi="Arial" w:cs="Arial"/>
                <w:b/>
                <w:sz w:val="20"/>
                <w:szCs w:val="20"/>
              </w:rPr>
              <w:t>TAK</w:t>
            </w:r>
            <w:bookmarkEnd w:id="0"/>
          </w:p>
        </w:tc>
      </w:tr>
      <w:tr w:rsidR="00A11217" w:rsidRPr="00E27C80" w:rsidTr="00A11217">
        <w:trPr>
          <w:trHeight w:val="227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1056">
              <w:rPr>
                <w:rFonts w:ascii="Arial" w:eastAsia="Calibri" w:hAnsi="Arial" w:cs="Arial"/>
                <w:b/>
                <w:sz w:val="20"/>
                <w:szCs w:val="20"/>
              </w:rPr>
              <w:t xml:space="preserve">Materiały eksploatacyjne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do czytnika indywidualnych dawkomierzy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1100EE">
              <w:rPr>
                <w:rFonts w:ascii="Arial" w:eastAsia="Calibri" w:hAnsi="Arial" w:cs="Arial"/>
                <w:sz w:val="20"/>
                <w:szCs w:val="20"/>
              </w:rPr>
              <w:t>pas nośny do przenoszenia czytnika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5C7A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042B29">
              <w:t>walizka transportowo-magazynowa</w:t>
            </w:r>
          </w:p>
        </w:tc>
        <w:tc>
          <w:tcPr>
            <w:tcW w:w="1701" w:type="dxa"/>
            <w:shd w:val="clear" w:color="auto" w:fill="auto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5C7A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Zestaw zasilający 230V jeśli nie występuje w komplecie z urządzeniem a urządzenie przystosowane jest do takiego rodzaju zasilania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5C7A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  <w:tr w:rsidR="00A11217" w:rsidRPr="00E27C80" w:rsidTr="00A11217">
        <w:trPr>
          <w:trHeight w:val="227"/>
        </w:trPr>
        <w:tc>
          <w:tcPr>
            <w:tcW w:w="562" w:type="dxa"/>
            <w:shd w:val="clear" w:color="auto" w:fill="auto"/>
          </w:tcPr>
          <w:p w:rsidR="00A11217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Zestaw akumulatorów (jeśli urządzenie przystosowane jest do takiego rodzaju zasilania) przedłużający czas nieprzerwanej pracy urządzenia o 48 godzin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17" w:rsidRPr="00E27C80" w:rsidRDefault="00A11217" w:rsidP="00C001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5C7A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</w:tr>
    </w:tbl>
    <w:p w:rsidR="00D06421" w:rsidRDefault="00D064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421" w:rsidRPr="0009350D" w:rsidRDefault="00D064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06421" w:rsidRPr="0009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0C0"/>
    <w:multiLevelType w:val="hybridMultilevel"/>
    <w:tmpl w:val="B748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B673C"/>
    <w:multiLevelType w:val="hybridMultilevel"/>
    <w:tmpl w:val="4AA6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36F48"/>
    <w:multiLevelType w:val="hybridMultilevel"/>
    <w:tmpl w:val="F0603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00381"/>
    <w:multiLevelType w:val="hybridMultilevel"/>
    <w:tmpl w:val="FE2C9C5E"/>
    <w:lvl w:ilvl="0" w:tplc="5A887D7C">
      <w:start w:val="1"/>
      <w:numFmt w:val="decimal"/>
      <w:lvlText w:val="%1."/>
      <w:lvlJc w:val="left"/>
      <w:pPr>
        <w:ind w:left="360" w:hanging="360"/>
      </w:pPr>
    </w:lvl>
    <w:lvl w:ilvl="1" w:tplc="8A0C9832" w:tentative="1">
      <w:start w:val="1"/>
      <w:numFmt w:val="lowerLetter"/>
      <w:lvlText w:val="%2."/>
      <w:lvlJc w:val="left"/>
      <w:pPr>
        <w:ind w:left="1080" w:hanging="360"/>
      </w:pPr>
    </w:lvl>
    <w:lvl w:ilvl="2" w:tplc="21446F62" w:tentative="1">
      <w:start w:val="1"/>
      <w:numFmt w:val="lowerRoman"/>
      <w:lvlText w:val="%3."/>
      <w:lvlJc w:val="right"/>
      <w:pPr>
        <w:ind w:left="1800" w:hanging="180"/>
      </w:pPr>
    </w:lvl>
    <w:lvl w:ilvl="3" w:tplc="8196FAC4" w:tentative="1">
      <w:start w:val="1"/>
      <w:numFmt w:val="decimal"/>
      <w:lvlText w:val="%4."/>
      <w:lvlJc w:val="left"/>
      <w:pPr>
        <w:ind w:left="2520" w:hanging="360"/>
      </w:pPr>
    </w:lvl>
    <w:lvl w:ilvl="4" w:tplc="F4F629FA" w:tentative="1">
      <w:start w:val="1"/>
      <w:numFmt w:val="lowerLetter"/>
      <w:lvlText w:val="%5."/>
      <w:lvlJc w:val="left"/>
      <w:pPr>
        <w:ind w:left="3240" w:hanging="360"/>
      </w:pPr>
    </w:lvl>
    <w:lvl w:ilvl="5" w:tplc="BB5A163C" w:tentative="1">
      <w:start w:val="1"/>
      <w:numFmt w:val="lowerRoman"/>
      <w:lvlText w:val="%6."/>
      <w:lvlJc w:val="right"/>
      <w:pPr>
        <w:ind w:left="3960" w:hanging="180"/>
      </w:pPr>
    </w:lvl>
    <w:lvl w:ilvl="6" w:tplc="482C2FD2" w:tentative="1">
      <w:start w:val="1"/>
      <w:numFmt w:val="decimal"/>
      <w:lvlText w:val="%7."/>
      <w:lvlJc w:val="left"/>
      <w:pPr>
        <w:ind w:left="4680" w:hanging="360"/>
      </w:pPr>
    </w:lvl>
    <w:lvl w:ilvl="7" w:tplc="E7DA2D82" w:tentative="1">
      <w:start w:val="1"/>
      <w:numFmt w:val="lowerLetter"/>
      <w:lvlText w:val="%8."/>
      <w:lvlJc w:val="left"/>
      <w:pPr>
        <w:ind w:left="5400" w:hanging="360"/>
      </w:pPr>
    </w:lvl>
    <w:lvl w:ilvl="8" w:tplc="5ECC16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855D1"/>
    <w:multiLevelType w:val="hybridMultilevel"/>
    <w:tmpl w:val="05EEF6DC"/>
    <w:lvl w:ilvl="0" w:tplc="D918FE5A">
      <w:start w:val="1"/>
      <w:numFmt w:val="decimal"/>
      <w:lvlText w:val="%1."/>
      <w:lvlJc w:val="left"/>
      <w:pPr>
        <w:ind w:left="360" w:hanging="360"/>
      </w:pPr>
    </w:lvl>
    <w:lvl w:ilvl="1" w:tplc="704EC3C6" w:tentative="1">
      <w:start w:val="1"/>
      <w:numFmt w:val="lowerLetter"/>
      <w:lvlText w:val="%2."/>
      <w:lvlJc w:val="left"/>
      <w:pPr>
        <w:ind w:left="1080" w:hanging="360"/>
      </w:pPr>
    </w:lvl>
    <w:lvl w:ilvl="2" w:tplc="090A1686" w:tentative="1">
      <w:start w:val="1"/>
      <w:numFmt w:val="lowerRoman"/>
      <w:lvlText w:val="%3."/>
      <w:lvlJc w:val="right"/>
      <w:pPr>
        <w:ind w:left="1800" w:hanging="180"/>
      </w:pPr>
    </w:lvl>
    <w:lvl w:ilvl="3" w:tplc="57B67054" w:tentative="1">
      <w:start w:val="1"/>
      <w:numFmt w:val="decimal"/>
      <w:lvlText w:val="%4."/>
      <w:lvlJc w:val="left"/>
      <w:pPr>
        <w:ind w:left="2520" w:hanging="360"/>
      </w:pPr>
    </w:lvl>
    <w:lvl w:ilvl="4" w:tplc="D17AB83C" w:tentative="1">
      <w:start w:val="1"/>
      <w:numFmt w:val="lowerLetter"/>
      <w:lvlText w:val="%5."/>
      <w:lvlJc w:val="left"/>
      <w:pPr>
        <w:ind w:left="3240" w:hanging="360"/>
      </w:pPr>
    </w:lvl>
    <w:lvl w:ilvl="5" w:tplc="45567D90" w:tentative="1">
      <w:start w:val="1"/>
      <w:numFmt w:val="lowerRoman"/>
      <w:lvlText w:val="%6."/>
      <w:lvlJc w:val="right"/>
      <w:pPr>
        <w:ind w:left="3960" w:hanging="180"/>
      </w:pPr>
    </w:lvl>
    <w:lvl w:ilvl="6" w:tplc="614E5F26" w:tentative="1">
      <w:start w:val="1"/>
      <w:numFmt w:val="decimal"/>
      <w:lvlText w:val="%7."/>
      <w:lvlJc w:val="left"/>
      <w:pPr>
        <w:ind w:left="4680" w:hanging="360"/>
      </w:pPr>
    </w:lvl>
    <w:lvl w:ilvl="7" w:tplc="AFCCD0A6" w:tentative="1">
      <w:start w:val="1"/>
      <w:numFmt w:val="lowerLetter"/>
      <w:lvlText w:val="%8."/>
      <w:lvlJc w:val="left"/>
      <w:pPr>
        <w:ind w:left="5400" w:hanging="360"/>
      </w:pPr>
    </w:lvl>
    <w:lvl w:ilvl="8" w:tplc="F49823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6198B"/>
    <w:multiLevelType w:val="hybridMultilevel"/>
    <w:tmpl w:val="826A8472"/>
    <w:lvl w:ilvl="0" w:tplc="4F281314">
      <w:start w:val="1"/>
      <w:numFmt w:val="decimal"/>
      <w:lvlText w:val="%1."/>
      <w:lvlJc w:val="left"/>
      <w:pPr>
        <w:ind w:left="360" w:hanging="360"/>
      </w:pPr>
    </w:lvl>
    <w:lvl w:ilvl="1" w:tplc="5A7A8CEA" w:tentative="1">
      <w:start w:val="1"/>
      <w:numFmt w:val="lowerLetter"/>
      <w:lvlText w:val="%2."/>
      <w:lvlJc w:val="left"/>
      <w:pPr>
        <w:ind w:left="1080" w:hanging="360"/>
      </w:pPr>
    </w:lvl>
    <w:lvl w:ilvl="2" w:tplc="5C361B20" w:tentative="1">
      <w:start w:val="1"/>
      <w:numFmt w:val="lowerRoman"/>
      <w:lvlText w:val="%3."/>
      <w:lvlJc w:val="right"/>
      <w:pPr>
        <w:ind w:left="1800" w:hanging="180"/>
      </w:pPr>
    </w:lvl>
    <w:lvl w:ilvl="3" w:tplc="0A06DA3A" w:tentative="1">
      <w:start w:val="1"/>
      <w:numFmt w:val="decimal"/>
      <w:lvlText w:val="%4."/>
      <w:lvlJc w:val="left"/>
      <w:pPr>
        <w:ind w:left="2520" w:hanging="360"/>
      </w:pPr>
    </w:lvl>
    <w:lvl w:ilvl="4" w:tplc="5EF2D27C" w:tentative="1">
      <w:start w:val="1"/>
      <w:numFmt w:val="lowerLetter"/>
      <w:lvlText w:val="%5."/>
      <w:lvlJc w:val="left"/>
      <w:pPr>
        <w:ind w:left="3240" w:hanging="360"/>
      </w:pPr>
    </w:lvl>
    <w:lvl w:ilvl="5" w:tplc="9A8C574C" w:tentative="1">
      <w:start w:val="1"/>
      <w:numFmt w:val="lowerRoman"/>
      <w:lvlText w:val="%6."/>
      <w:lvlJc w:val="right"/>
      <w:pPr>
        <w:ind w:left="3960" w:hanging="180"/>
      </w:pPr>
    </w:lvl>
    <w:lvl w:ilvl="6" w:tplc="69AEA634" w:tentative="1">
      <w:start w:val="1"/>
      <w:numFmt w:val="decimal"/>
      <w:lvlText w:val="%7."/>
      <w:lvlJc w:val="left"/>
      <w:pPr>
        <w:ind w:left="4680" w:hanging="360"/>
      </w:pPr>
    </w:lvl>
    <w:lvl w:ilvl="7" w:tplc="C0B42BAA" w:tentative="1">
      <w:start w:val="1"/>
      <w:numFmt w:val="lowerLetter"/>
      <w:lvlText w:val="%8."/>
      <w:lvlJc w:val="left"/>
      <w:pPr>
        <w:ind w:left="5400" w:hanging="360"/>
      </w:pPr>
    </w:lvl>
    <w:lvl w:ilvl="8" w:tplc="76EE25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C0B82"/>
    <w:multiLevelType w:val="hybridMultilevel"/>
    <w:tmpl w:val="4AA6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87741D"/>
    <w:multiLevelType w:val="hybridMultilevel"/>
    <w:tmpl w:val="B748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E15A9B"/>
    <w:multiLevelType w:val="hybridMultilevel"/>
    <w:tmpl w:val="FE2C9C5E"/>
    <w:lvl w:ilvl="0" w:tplc="5A887D7C">
      <w:start w:val="1"/>
      <w:numFmt w:val="decimal"/>
      <w:lvlText w:val="%1."/>
      <w:lvlJc w:val="left"/>
      <w:pPr>
        <w:ind w:left="360" w:hanging="360"/>
      </w:pPr>
    </w:lvl>
    <w:lvl w:ilvl="1" w:tplc="8A0C9832" w:tentative="1">
      <w:start w:val="1"/>
      <w:numFmt w:val="lowerLetter"/>
      <w:lvlText w:val="%2."/>
      <w:lvlJc w:val="left"/>
      <w:pPr>
        <w:ind w:left="1080" w:hanging="360"/>
      </w:pPr>
    </w:lvl>
    <w:lvl w:ilvl="2" w:tplc="21446F62" w:tentative="1">
      <w:start w:val="1"/>
      <w:numFmt w:val="lowerRoman"/>
      <w:lvlText w:val="%3."/>
      <w:lvlJc w:val="right"/>
      <w:pPr>
        <w:ind w:left="1800" w:hanging="180"/>
      </w:pPr>
    </w:lvl>
    <w:lvl w:ilvl="3" w:tplc="8196FAC4" w:tentative="1">
      <w:start w:val="1"/>
      <w:numFmt w:val="decimal"/>
      <w:lvlText w:val="%4."/>
      <w:lvlJc w:val="left"/>
      <w:pPr>
        <w:ind w:left="2520" w:hanging="360"/>
      </w:pPr>
    </w:lvl>
    <w:lvl w:ilvl="4" w:tplc="F4F629FA" w:tentative="1">
      <w:start w:val="1"/>
      <w:numFmt w:val="lowerLetter"/>
      <w:lvlText w:val="%5."/>
      <w:lvlJc w:val="left"/>
      <w:pPr>
        <w:ind w:left="3240" w:hanging="360"/>
      </w:pPr>
    </w:lvl>
    <w:lvl w:ilvl="5" w:tplc="BB5A163C" w:tentative="1">
      <w:start w:val="1"/>
      <w:numFmt w:val="lowerRoman"/>
      <w:lvlText w:val="%6."/>
      <w:lvlJc w:val="right"/>
      <w:pPr>
        <w:ind w:left="3960" w:hanging="180"/>
      </w:pPr>
    </w:lvl>
    <w:lvl w:ilvl="6" w:tplc="482C2FD2" w:tentative="1">
      <w:start w:val="1"/>
      <w:numFmt w:val="decimal"/>
      <w:lvlText w:val="%7."/>
      <w:lvlJc w:val="left"/>
      <w:pPr>
        <w:ind w:left="4680" w:hanging="360"/>
      </w:pPr>
    </w:lvl>
    <w:lvl w:ilvl="7" w:tplc="E7DA2D82" w:tentative="1">
      <w:start w:val="1"/>
      <w:numFmt w:val="lowerLetter"/>
      <w:lvlText w:val="%8."/>
      <w:lvlJc w:val="left"/>
      <w:pPr>
        <w:ind w:left="5400" w:hanging="360"/>
      </w:pPr>
    </w:lvl>
    <w:lvl w:ilvl="8" w:tplc="5ECC16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7"/>
    <w:rsid w:val="0009350D"/>
    <w:rsid w:val="00793C8A"/>
    <w:rsid w:val="00A11217"/>
    <w:rsid w:val="00A604B9"/>
    <w:rsid w:val="00AE0FB2"/>
    <w:rsid w:val="00D06421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3F3D"/>
  <w15:chartTrackingRefBased/>
  <w15:docId w15:val="{D3DB7A10-96DB-438F-838A-89DBBCE8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L1,Akapit z listą5,normalny tekst,1.Nagłówek"/>
    <w:basedOn w:val="Normalny"/>
    <w:link w:val="AkapitzlistZnak"/>
    <w:uiPriority w:val="34"/>
    <w:qFormat/>
    <w:rsid w:val="00FA026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FA026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uiPriority w:val="34"/>
    <w:qFormat/>
    <w:locked/>
    <w:rsid w:val="00FA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Parasinska  Anna</cp:lastModifiedBy>
  <cp:revision>2</cp:revision>
  <dcterms:created xsi:type="dcterms:W3CDTF">2023-05-29T10:26:00Z</dcterms:created>
  <dcterms:modified xsi:type="dcterms:W3CDTF">2023-05-29T10:26:00Z</dcterms:modified>
</cp:coreProperties>
</file>