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0014" w14:textId="77777777" w:rsidR="003B0D1D" w:rsidRPr="00E02072" w:rsidRDefault="003B0D1D" w:rsidP="00E02072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37A4765A" w14:textId="24E79901" w:rsidR="00120FD6" w:rsidRPr="0027420A" w:rsidRDefault="00F757B0" w:rsidP="00E02072">
      <w:pPr>
        <w:spacing w:after="0" w:line="240" w:lineRule="auto"/>
        <w:jc w:val="both"/>
        <w:rPr>
          <w:rFonts w:ascii="Segoe UI" w:hAnsi="Segoe UI" w:cs="Segoe UI"/>
          <w:b/>
        </w:rPr>
      </w:pP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5556B5" w:rsidRPr="0027420A">
        <w:rPr>
          <w:rFonts w:ascii="Segoe UI" w:hAnsi="Segoe UI" w:cs="Segoe UI"/>
          <w:b/>
        </w:rPr>
        <w:t>Sopot</w:t>
      </w:r>
      <w:r w:rsidR="005556B5" w:rsidRPr="0027420A">
        <w:rPr>
          <w:rFonts w:ascii="Segoe UI" w:hAnsi="Segoe UI" w:cs="Segoe UI"/>
        </w:rPr>
        <w:t xml:space="preserve"> </w:t>
      </w:r>
      <w:r w:rsidR="005556B5" w:rsidRPr="0027420A">
        <w:rPr>
          <w:rFonts w:ascii="Segoe UI" w:hAnsi="Segoe UI" w:cs="Segoe UI"/>
          <w:b/>
        </w:rPr>
        <w:t>1</w:t>
      </w:r>
      <w:r w:rsidR="0027420A" w:rsidRPr="0027420A">
        <w:rPr>
          <w:rFonts w:ascii="Segoe UI" w:hAnsi="Segoe UI" w:cs="Segoe UI"/>
          <w:b/>
        </w:rPr>
        <w:t>7</w:t>
      </w:r>
      <w:r w:rsidR="00120FD6" w:rsidRPr="0027420A">
        <w:rPr>
          <w:rFonts w:ascii="Segoe UI" w:hAnsi="Segoe UI" w:cs="Segoe UI"/>
          <w:b/>
        </w:rPr>
        <w:t>.</w:t>
      </w:r>
      <w:r w:rsidR="00E4336B" w:rsidRPr="0027420A">
        <w:rPr>
          <w:rFonts w:ascii="Segoe UI" w:hAnsi="Segoe UI" w:cs="Segoe UI"/>
          <w:b/>
        </w:rPr>
        <w:t>0</w:t>
      </w:r>
      <w:r w:rsidRPr="0027420A">
        <w:rPr>
          <w:rFonts w:ascii="Segoe UI" w:hAnsi="Segoe UI" w:cs="Segoe UI"/>
          <w:b/>
        </w:rPr>
        <w:t>3</w:t>
      </w:r>
      <w:r w:rsidR="00120FD6" w:rsidRPr="0027420A">
        <w:rPr>
          <w:rFonts w:ascii="Segoe UI" w:hAnsi="Segoe UI" w:cs="Segoe UI"/>
          <w:b/>
        </w:rPr>
        <w:t>.202</w:t>
      </w:r>
      <w:r w:rsidR="00E4336B" w:rsidRPr="0027420A">
        <w:rPr>
          <w:rFonts w:ascii="Segoe UI" w:hAnsi="Segoe UI" w:cs="Segoe UI"/>
          <w:b/>
        </w:rPr>
        <w:t>3</w:t>
      </w:r>
      <w:r w:rsidR="00120FD6" w:rsidRPr="0027420A">
        <w:rPr>
          <w:rFonts w:ascii="Segoe UI" w:hAnsi="Segoe UI" w:cs="Segoe UI"/>
          <w:b/>
        </w:rPr>
        <w:t>r.</w:t>
      </w:r>
    </w:p>
    <w:p w14:paraId="1272AE00" w14:textId="2F35A26A" w:rsidR="00120FD6" w:rsidRPr="0027420A" w:rsidRDefault="00120FD6" w:rsidP="00E02072">
      <w:pPr>
        <w:spacing w:after="0" w:line="240" w:lineRule="auto"/>
        <w:jc w:val="both"/>
        <w:rPr>
          <w:rFonts w:ascii="Segoe UI" w:hAnsi="Segoe UI" w:cs="Segoe UI"/>
        </w:rPr>
      </w:pPr>
    </w:p>
    <w:p w14:paraId="0DD45BE6" w14:textId="77777777" w:rsidR="00120FD6" w:rsidRPr="0027420A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14:paraId="26D63F6D" w14:textId="77777777" w:rsidR="00120FD6" w:rsidRPr="0027420A" w:rsidRDefault="00120FD6" w:rsidP="00E0207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Segoe UI" w:hAnsi="Segoe UI" w:cs="Segoe UI"/>
          <w:b/>
        </w:rPr>
      </w:pPr>
      <w:r w:rsidRPr="0027420A">
        <w:rPr>
          <w:rFonts w:ascii="Segoe UI" w:hAnsi="Segoe UI" w:cs="Segoe UI"/>
          <w:b/>
        </w:rPr>
        <w:t>Strona internetowa</w:t>
      </w:r>
    </w:p>
    <w:p w14:paraId="044C0D45" w14:textId="77777777" w:rsidR="00120FD6" w:rsidRPr="0027420A" w:rsidRDefault="00120FD6" w:rsidP="00E0207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Segoe UI" w:hAnsi="Segoe UI" w:cs="Segoe UI"/>
          <w:b/>
        </w:rPr>
      </w:pPr>
    </w:p>
    <w:p w14:paraId="74A5CD48" w14:textId="77777777" w:rsidR="00120FD6" w:rsidRPr="0027420A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14:paraId="17C12C5C" w14:textId="39963D58" w:rsidR="00120FD6" w:rsidRPr="0027420A" w:rsidRDefault="00120FD6" w:rsidP="00E12A4C">
      <w:pPr>
        <w:keepNext/>
        <w:keepLines/>
        <w:shd w:val="clear" w:color="auto" w:fill="FFFFFF"/>
        <w:tabs>
          <w:tab w:val="left" w:pos="-180"/>
        </w:tabs>
        <w:spacing w:before="60" w:after="60" w:line="276" w:lineRule="auto"/>
        <w:jc w:val="both"/>
        <w:rPr>
          <w:rFonts w:ascii="Segoe UI" w:hAnsi="Segoe UI" w:cs="Segoe UI"/>
          <w:b/>
          <w:u w:val="single"/>
        </w:rPr>
      </w:pPr>
      <w:r w:rsidRPr="0027420A">
        <w:rPr>
          <w:rFonts w:ascii="Segoe UI" w:hAnsi="Segoe UI" w:cs="Segoe UI"/>
          <w:b/>
        </w:rPr>
        <w:t xml:space="preserve">Sprawa: </w:t>
      </w:r>
      <w:r w:rsidR="0027420A" w:rsidRPr="0027420A">
        <w:rPr>
          <w:rFonts w:ascii="Segoe UI" w:hAnsi="Segoe UI" w:cs="Segoe UI"/>
        </w:rPr>
        <w:t xml:space="preserve">wyjaśnienia </w:t>
      </w:r>
      <w:r w:rsidR="0027420A">
        <w:rPr>
          <w:rFonts w:ascii="Segoe UI" w:hAnsi="Segoe UI" w:cs="Segoe UI"/>
        </w:rPr>
        <w:t xml:space="preserve">i modyfikacja </w:t>
      </w:r>
      <w:bookmarkStart w:id="0" w:name="_GoBack"/>
      <w:bookmarkEnd w:id="0"/>
      <w:r w:rsidRPr="0027420A">
        <w:rPr>
          <w:rFonts w:ascii="Segoe UI" w:hAnsi="Segoe UI" w:cs="Segoe UI"/>
        </w:rPr>
        <w:t>zapisów SWZ w postępowaniu na</w:t>
      </w:r>
      <w:r w:rsidRPr="0027420A">
        <w:rPr>
          <w:rFonts w:ascii="Segoe UI" w:hAnsi="Segoe UI" w:cs="Segoe UI"/>
          <w:b/>
        </w:rPr>
        <w:t xml:space="preserve"> „</w:t>
      </w:r>
      <w:r w:rsidR="0027420A" w:rsidRPr="0027420A">
        <w:rPr>
          <w:rFonts w:ascii="Segoe UI" w:hAnsi="Segoe UI" w:cs="Segoe UI"/>
          <w:b/>
        </w:rPr>
        <w:t>Usługi ubezpieczenia pojazdów</w:t>
      </w:r>
      <w:r w:rsidR="00F757B0" w:rsidRPr="0027420A">
        <w:rPr>
          <w:rFonts w:ascii="Segoe UI" w:hAnsi="Segoe UI" w:cs="Segoe UI"/>
          <w:b/>
        </w:rPr>
        <w:t>”.</w:t>
      </w:r>
    </w:p>
    <w:p w14:paraId="7A805FAC" w14:textId="77777777" w:rsidR="00120FD6" w:rsidRPr="0027420A" w:rsidRDefault="00120FD6" w:rsidP="00E02072">
      <w:pPr>
        <w:suppressAutoHyphens/>
        <w:spacing w:after="0" w:line="240" w:lineRule="auto"/>
        <w:jc w:val="both"/>
        <w:rPr>
          <w:rFonts w:ascii="Segoe UI" w:hAnsi="Segoe UI" w:cs="Segoe UI"/>
          <w:b/>
          <w:u w:val="single"/>
          <w:lang w:eastAsia="ar-SA"/>
        </w:rPr>
      </w:pPr>
    </w:p>
    <w:p w14:paraId="29E33E26" w14:textId="325222F9" w:rsidR="00120FD6" w:rsidRPr="0027420A" w:rsidRDefault="00120FD6" w:rsidP="0027420A">
      <w:p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7420A">
        <w:rPr>
          <w:rFonts w:ascii="Segoe UI" w:hAnsi="Segoe UI" w:cs="Segoe UI"/>
        </w:rPr>
        <w:t xml:space="preserve">Zamawiający informuje, iż na podst. art. </w:t>
      </w:r>
      <w:r w:rsidR="0027420A" w:rsidRPr="0027420A">
        <w:rPr>
          <w:rFonts w:ascii="Segoe UI" w:hAnsi="Segoe UI" w:cs="Segoe UI"/>
        </w:rPr>
        <w:t>284</w:t>
      </w:r>
      <w:r w:rsidR="00E12A4C" w:rsidRPr="0027420A">
        <w:rPr>
          <w:rFonts w:ascii="Segoe UI" w:hAnsi="Segoe UI" w:cs="Segoe UI"/>
        </w:rPr>
        <w:t xml:space="preserve"> ust.2 </w:t>
      </w:r>
      <w:r w:rsidR="0027420A">
        <w:rPr>
          <w:rFonts w:ascii="Segoe UI" w:hAnsi="Segoe UI" w:cs="Segoe UI"/>
        </w:rPr>
        <w:t xml:space="preserve">oraz 286 ust.1 </w:t>
      </w:r>
      <w:r w:rsidRPr="0027420A">
        <w:rPr>
          <w:rFonts w:ascii="Segoe UI" w:hAnsi="Segoe UI" w:cs="Segoe UI"/>
        </w:rPr>
        <w:t xml:space="preserve">ustawy Prawo zamówień publicznych (Dz.U. z 2022r. poz. 1710 ze zm.) </w:t>
      </w:r>
      <w:r w:rsidR="00E12A4C" w:rsidRPr="0027420A">
        <w:rPr>
          <w:rFonts w:ascii="Segoe UI" w:hAnsi="Segoe UI" w:cs="Segoe UI"/>
        </w:rPr>
        <w:t xml:space="preserve">udziela wyjaśnień </w:t>
      </w:r>
      <w:r w:rsidR="0027420A">
        <w:rPr>
          <w:rFonts w:ascii="Segoe UI" w:hAnsi="Segoe UI" w:cs="Segoe UI"/>
        </w:rPr>
        <w:t xml:space="preserve">i dokonuje modyfikacji </w:t>
      </w:r>
      <w:r w:rsidRPr="0027420A">
        <w:rPr>
          <w:rFonts w:ascii="Segoe UI" w:hAnsi="Segoe UI" w:cs="Segoe UI"/>
        </w:rPr>
        <w:t>zapisów SWZ.</w:t>
      </w:r>
    </w:p>
    <w:p w14:paraId="0DD40A9B" w14:textId="77777777" w:rsidR="00120FD6" w:rsidRPr="0027420A" w:rsidRDefault="00120FD6" w:rsidP="0027420A">
      <w:pPr>
        <w:spacing w:after="0" w:line="240" w:lineRule="auto"/>
        <w:ind w:left="284" w:hanging="284"/>
        <w:jc w:val="both"/>
        <w:rPr>
          <w:rFonts w:ascii="Segoe UI" w:hAnsi="Segoe UI" w:cs="Segoe UI"/>
        </w:rPr>
      </w:pPr>
    </w:p>
    <w:p w14:paraId="1FE36FE0" w14:textId="77777777" w:rsidR="0027420A" w:rsidRPr="0027420A" w:rsidRDefault="0027420A" w:rsidP="0027420A">
      <w:pPr>
        <w:pStyle w:val="Tekstpodstawowy"/>
        <w:numPr>
          <w:ilvl w:val="0"/>
          <w:numId w:val="10"/>
        </w:numPr>
        <w:ind w:left="284" w:hanging="284"/>
        <w:jc w:val="both"/>
        <w:rPr>
          <w:rFonts w:ascii="Segoe UI" w:hAnsi="Segoe UI" w:cs="Segoe UI"/>
          <w:b/>
          <w:bCs/>
          <w:sz w:val="22"/>
          <w:szCs w:val="22"/>
        </w:rPr>
      </w:pPr>
      <w:r w:rsidRPr="0027420A">
        <w:rPr>
          <w:rFonts w:ascii="Segoe UI" w:hAnsi="Segoe UI" w:cs="Segoe UI"/>
          <w:sz w:val="22"/>
          <w:szCs w:val="22"/>
        </w:rPr>
        <w:t xml:space="preserve">Prosimy o potwierdzenie, że „Nie ma zastosowania amortyzacja części (w tym kabiny kierowcy), z wyłączeniem ustalenia odszkodowania za szkody powstałe w ogumieniu i w układzie wydechowym </w:t>
      </w:r>
      <w:r w:rsidRPr="0027420A">
        <w:rPr>
          <w:rFonts w:ascii="Segoe UI" w:hAnsi="Segoe UI" w:cs="Segoe UI"/>
          <w:b/>
          <w:bCs/>
          <w:sz w:val="22"/>
          <w:szCs w:val="22"/>
        </w:rPr>
        <w:t>oraz akumulatorach trakcyjnych w pojazdach elektrycznych”</w:t>
      </w:r>
    </w:p>
    <w:p w14:paraId="7347A3C3" w14:textId="77777777" w:rsidR="0027420A" w:rsidRPr="0027420A" w:rsidRDefault="0027420A" w:rsidP="0027420A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Odpowiedź: Zamawiający potwierdza powyższe. </w:t>
      </w:r>
    </w:p>
    <w:p w14:paraId="1E62634F" w14:textId="77777777" w:rsidR="0027420A" w:rsidRPr="0027420A" w:rsidRDefault="0027420A" w:rsidP="0027420A">
      <w:pPr>
        <w:pStyle w:val="Tekstpodstawowy"/>
        <w:numPr>
          <w:ilvl w:val="0"/>
          <w:numId w:val="10"/>
        </w:numPr>
        <w:ind w:left="284" w:hanging="284"/>
        <w:rPr>
          <w:rFonts w:ascii="Segoe UI" w:hAnsi="Segoe UI" w:cs="Segoe UI"/>
          <w:color w:val="1F4E79" w:themeColor="accent5" w:themeShade="80"/>
          <w:sz w:val="22"/>
          <w:szCs w:val="22"/>
        </w:rPr>
      </w:pPr>
      <w:r w:rsidRPr="0027420A">
        <w:rPr>
          <w:rFonts w:ascii="Segoe UI" w:hAnsi="Segoe UI" w:cs="Segoe UI"/>
          <w:sz w:val="22"/>
          <w:szCs w:val="22"/>
        </w:rPr>
        <w:t xml:space="preserve">W zakresie Assistance wariant rozszerzony prosimy o potwierdzenie, że zakres nie obejmuje Mołdawii i </w:t>
      </w:r>
      <w:r w:rsidRPr="0027420A">
        <w:rPr>
          <w:rFonts w:ascii="Segoe UI" w:hAnsi="Segoe UI" w:cs="Segoe UI"/>
          <w:color w:val="1F4E79" w:themeColor="accent5" w:themeShade="80"/>
          <w:sz w:val="22"/>
          <w:szCs w:val="22"/>
        </w:rPr>
        <w:t>Rosji</w:t>
      </w:r>
    </w:p>
    <w:p w14:paraId="3F887DBB" w14:textId="77777777" w:rsidR="0027420A" w:rsidRPr="0027420A" w:rsidRDefault="0027420A" w:rsidP="0027420A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Odpowiedź: Zamawiający potwierdza powyższe. </w:t>
      </w:r>
    </w:p>
    <w:p w14:paraId="724C32F7" w14:textId="77777777" w:rsidR="0027420A" w:rsidRPr="0027420A" w:rsidRDefault="0027420A" w:rsidP="0027420A">
      <w:pPr>
        <w:pStyle w:val="Tekstpodstawowy"/>
        <w:numPr>
          <w:ilvl w:val="0"/>
          <w:numId w:val="10"/>
        </w:numPr>
        <w:ind w:left="284" w:hanging="284"/>
        <w:rPr>
          <w:rFonts w:ascii="Segoe UI" w:hAnsi="Segoe UI" w:cs="Segoe UI"/>
          <w:sz w:val="22"/>
          <w:szCs w:val="22"/>
        </w:rPr>
      </w:pPr>
      <w:r w:rsidRPr="0027420A">
        <w:rPr>
          <w:rFonts w:ascii="Segoe UI" w:hAnsi="Segoe UI" w:cs="Segoe UI"/>
          <w:sz w:val="22"/>
          <w:szCs w:val="22"/>
        </w:rPr>
        <w:t>W zakresie ubezpieczenia szyb prosimy o potwierdzenie, że w przypadku szkody powstałej wskutek drugiego i każdego następnego wypadku ubezpieczeniowego, który zaszedł w okresie ubezpieczenia, obowiązuje udział własny zgodny z zapisami OWU Ubezpieczyciela.</w:t>
      </w:r>
    </w:p>
    <w:p w14:paraId="3523803A" w14:textId="01E3FE07" w:rsidR="0027420A" w:rsidRPr="0027420A" w:rsidRDefault="0027420A" w:rsidP="0027420A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Odpowiedź: Zamawiający potwierdza powyższe. </w:t>
      </w:r>
    </w:p>
    <w:p w14:paraId="1317DBBC" w14:textId="3E7C2848" w:rsidR="0027420A" w:rsidRPr="0027420A" w:rsidRDefault="0027420A" w:rsidP="0027420A">
      <w:pPr>
        <w:pStyle w:val="Tekstpodstawowy"/>
        <w:spacing w:after="0"/>
        <w:ind w:left="284" w:hanging="284"/>
        <w:jc w:val="both"/>
        <w:rPr>
          <w:rFonts w:ascii="Segoe UI" w:hAnsi="Segoe UI" w:cs="Segoe UI"/>
          <w:b/>
          <w:bCs/>
          <w:sz w:val="22"/>
          <w:szCs w:val="22"/>
        </w:rPr>
      </w:pPr>
      <w:r w:rsidRPr="0027420A">
        <w:rPr>
          <w:rFonts w:ascii="Segoe UI" w:hAnsi="Segoe UI" w:cs="Segoe UI"/>
          <w:b/>
          <w:bCs/>
          <w:sz w:val="22"/>
          <w:szCs w:val="22"/>
        </w:rPr>
        <w:t xml:space="preserve">W zakresie likwidacji szkód </w:t>
      </w:r>
    </w:p>
    <w:p w14:paraId="155568A2" w14:textId="77777777" w:rsidR="0027420A" w:rsidRPr="0027420A" w:rsidRDefault="0027420A" w:rsidP="002742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7420A">
        <w:rPr>
          <w:rFonts w:ascii="Segoe UI" w:hAnsi="Segoe UI" w:cs="Segoe UI"/>
        </w:rPr>
        <w:t>Prosimy o  doprecyzowanie, że „Wszystkie koszty naprawy pojazdu ustalane będą na podstawie cen części oryginalnych serwisowym”  a  uznanie w rozliczeniu cen części oryginalnych odbędzie się  po udokumentowaniu naprawy zgodnie z OWU</w:t>
      </w:r>
    </w:p>
    <w:p w14:paraId="089BBE36" w14:textId="77777777" w:rsidR="0027420A" w:rsidRPr="0027420A" w:rsidRDefault="0027420A" w:rsidP="0027420A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FF0000"/>
          <w:sz w:val="22"/>
          <w:szCs w:val="22"/>
        </w:rPr>
      </w:pPr>
    </w:p>
    <w:p w14:paraId="59DCC94D" w14:textId="77777777" w:rsidR="0027420A" w:rsidRPr="0027420A" w:rsidRDefault="0027420A" w:rsidP="0027420A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Odpowiedź: Zamawiający wyraża zgodę na powyższe. </w:t>
      </w:r>
    </w:p>
    <w:p w14:paraId="16E06C17" w14:textId="7FADE86F" w:rsidR="0027420A" w:rsidRPr="0027420A" w:rsidRDefault="0027420A" w:rsidP="0027420A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</w:rPr>
        <w:t>Punkt 2.3.6.16 OPZ przyjmuje brzmienie: „Wszystkie koszty naprawy pojazdu ustalane będą na podstawie cen części oryginalnych serwisowych  a  uznanie w rozliczeniu cen części oryginalnych odbędzie się  po udokumentowaniu naprawy zgodnie z OWU”.</w:t>
      </w:r>
    </w:p>
    <w:p w14:paraId="13642CEB" w14:textId="09E2D780" w:rsidR="0027420A" w:rsidRDefault="0027420A" w:rsidP="002742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7420A">
        <w:rPr>
          <w:rFonts w:ascii="Segoe UI" w:hAnsi="Segoe UI" w:cs="Segoe UI"/>
        </w:rPr>
        <w:t xml:space="preserve">Prosimy o doprecyzowanie, że Wykonawca zobowiązuje się do obligatoryjnego przesyłania Zamawiającemu decyzji o wypłacie odszkodowania w przypadku każdej szkody </w:t>
      </w:r>
      <w:r w:rsidRPr="0027420A">
        <w:rPr>
          <w:rFonts w:ascii="Segoe UI" w:hAnsi="Segoe UI" w:cs="Segoe UI"/>
          <w:b/>
          <w:bCs/>
        </w:rPr>
        <w:t>AC</w:t>
      </w:r>
      <w:r w:rsidRPr="0027420A">
        <w:rPr>
          <w:rFonts w:ascii="Segoe UI" w:hAnsi="Segoe UI" w:cs="Segoe UI"/>
        </w:rPr>
        <w:t>, a w przypadku szkody OC wysyłane jest zawiadomienie o zgłoszeniu roszczenia.</w:t>
      </w:r>
    </w:p>
    <w:p w14:paraId="5E720D29" w14:textId="77777777" w:rsidR="0027420A" w:rsidRPr="0027420A" w:rsidRDefault="0027420A" w:rsidP="002742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</w:p>
    <w:p w14:paraId="051BF9F5" w14:textId="77777777" w:rsidR="0027420A" w:rsidRPr="0027420A" w:rsidRDefault="0027420A" w:rsidP="0027420A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Odpowiedź: Zamawiający potwierdza powyższe. </w:t>
      </w:r>
    </w:p>
    <w:p w14:paraId="43357C5F" w14:textId="09064573" w:rsidR="0027420A" w:rsidRPr="0027420A" w:rsidRDefault="0027420A" w:rsidP="0027420A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</w:rPr>
        <w:t xml:space="preserve">Punkt 2.7.3 OPZ przyjmuje brzmienie: „Wykonawca zobowiązuje się do obligatoryjnego przesyłania Zamawiającemu decyzji o wypłacie odszkodowania w przypadku każdej </w:t>
      </w:r>
      <w:r w:rsidRPr="0027420A">
        <w:rPr>
          <w:rFonts w:ascii="Segoe UI" w:hAnsi="Segoe UI" w:cs="Segoe UI"/>
          <w:b/>
          <w:bCs/>
          <w:color w:val="1F4E79" w:themeColor="accent5" w:themeShade="80"/>
        </w:rPr>
        <w:lastRenderedPageBreak/>
        <w:t>szkody AC, a w przypadku szkody OC wysyłane jest zawiadomienie o zgłoszeniu roszczenia.”</w:t>
      </w:r>
    </w:p>
    <w:p w14:paraId="75F1298A" w14:textId="77777777" w:rsidR="0027420A" w:rsidRPr="0027420A" w:rsidRDefault="0027420A" w:rsidP="002742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7420A">
        <w:rPr>
          <w:rFonts w:ascii="Segoe UI" w:hAnsi="Segoe UI" w:cs="Segoe UI"/>
        </w:rPr>
        <w:t>Prosimy o doprecyzowanie, że „W przypadku szkód, których wartość szacunkowa nie przekracza 3 000 zł, Zamawiający może dokonać likwidacji szkody samodzielnie lub poprzez wyspecjalizowany serwis bez konieczności uprzedniego informowania Wykonawcy, wykonania zdjęć przez likwidatora itp. W takim przypadku dokumentami potwierdzającymi fakt powstania szkody i poniesionych strat jest:</w:t>
      </w:r>
    </w:p>
    <w:p w14:paraId="3FD39BF4" w14:textId="77777777" w:rsidR="0027420A" w:rsidRPr="0027420A" w:rsidRDefault="0027420A" w:rsidP="0027420A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27420A">
        <w:rPr>
          <w:rFonts w:ascii="Segoe UI" w:hAnsi="Segoe UI" w:cs="Segoe UI"/>
        </w:rPr>
        <w:t>a. zgłoszenie szkody uwzględniające datę, miejsce i okoliczności powstania szkody,</w:t>
      </w:r>
    </w:p>
    <w:p w14:paraId="3412AD31" w14:textId="77777777" w:rsidR="0027420A" w:rsidRPr="0027420A" w:rsidRDefault="0027420A" w:rsidP="0027420A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27420A">
        <w:rPr>
          <w:rFonts w:ascii="Segoe UI" w:hAnsi="Segoe UI" w:cs="Segoe UI"/>
        </w:rPr>
        <w:t>b. rachunki za naprawę oraz zakup części, ewentualnie kosztorys naprawy,</w:t>
      </w:r>
    </w:p>
    <w:p w14:paraId="4B8B0A91" w14:textId="77777777" w:rsidR="0027420A" w:rsidRPr="0027420A" w:rsidRDefault="0027420A" w:rsidP="0027420A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27420A">
        <w:rPr>
          <w:rFonts w:ascii="Segoe UI" w:hAnsi="Segoe UI" w:cs="Segoe UI"/>
        </w:rPr>
        <w:t>c. notatka policyjna - w przypadku szkód powstałych w wyniku czynów karalnych,</w:t>
      </w:r>
    </w:p>
    <w:p w14:paraId="30212761" w14:textId="77777777" w:rsidR="0027420A" w:rsidRPr="0027420A" w:rsidRDefault="0027420A" w:rsidP="0027420A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27420A">
        <w:rPr>
          <w:rFonts w:ascii="Segoe UI" w:hAnsi="Segoe UI" w:cs="Segoe UI"/>
        </w:rPr>
        <w:t>d. zdjęcia całego pojazdu, z widoczną tablicą rejestracyjną,</w:t>
      </w:r>
    </w:p>
    <w:p w14:paraId="02F091C1" w14:textId="77777777" w:rsidR="0027420A" w:rsidRPr="0027420A" w:rsidRDefault="0027420A" w:rsidP="0027420A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b/>
          <w:bCs/>
        </w:rPr>
      </w:pPr>
      <w:r w:rsidRPr="0027420A">
        <w:rPr>
          <w:rFonts w:ascii="Segoe UI" w:hAnsi="Segoe UI" w:cs="Segoe UI"/>
        </w:rPr>
        <w:t xml:space="preserve">e. zdjęcia dokumentujące zakres uszkodzeń; w przypadku uszkodzeń mało widocznych należy je zaznaczyć poprzez przyłożenie wskaźnika np. długopisu albo obrysować np. przy pomocy flamastra.” </w:t>
      </w:r>
    </w:p>
    <w:p w14:paraId="3DFF2339" w14:textId="7D124CB9" w:rsidR="0027420A" w:rsidRPr="0027420A" w:rsidRDefault="0027420A" w:rsidP="0027420A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b/>
          <w:bCs/>
        </w:rPr>
      </w:pPr>
      <w:r w:rsidRPr="0027420A">
        <w:rPr>
          <w:rFonts w:ascii="Segoe UI" w:hAnsi="Segoe UI" w:cs="Segoe UI"/>
        </w:rPr>
        <w:t xml:space="preserve"> </w:t>
      </w:r>
      <w:r w:rsidRPr="0027420A">
        <w:rPr>
          <w:rFonts w:ascii="Segoe UI" w:hAnsi="Segoe UI" w:cs="Segoe UI"/>
          <w:b/>
          <w:bCs/>
        </w:rPr>
        <w:t>koszty podlegają weryfikacji zgodnie z OWU</w:t>
      </w:r>
    </w:p>
    <w:p w14:paraId="7FF712ED" w14:textId="77777777" w:rsidR="0027420A" w:rsidRPr="0027420A" w:rsidRDefault="0027420A" w:rsidP="0027420A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Odpowiedź: Zamawiający potwierdza powyższe. </w:t>
      </w:r>
    </w:p>
    <w:p w14:paraId="449E0A67" w14:textId="77777777" w:rsidR="0027420A" w:rsidRPr="0027420A" w:rsidRDefault="0027420A" w:rsidP="0027420A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>Punkt 2.7.3 OPZ przyjmuje brzmienie: „ W przypadku szkód, których wartość szacunkowa nie przekracza 3 000 zł, Zamawiający może dokonać likwidacji szkody samodzielnie lub poprzez wyspecjalizowany serwis bez konieczności  uprzedniego informowania Wykonawcy, wykonania zdjęć przez likwidatora itp. W takim przypadku dokumentami potwierdzającymi fakt powstania szkody i poniesionych strat jest:</w:t>
      </w:r>
    </w:p>
    <w:p w14:paraId="7E01F871" w14:textId="77777777" w:rsidR="0027420A" w:rsidRPr="0027420A" w:rsidRDefault="0027420A" w:rsidP="0027420A">
      <w:pPr>
        <w:pStyle w:val="Akapitzlist"/>
        <w:numPr>
          <w:ilvl w:val="2"/>
          <w:numId w:val="11"/>
        </w:numPr>
        <w:spacing w:before="100" w:beforeAutospacing="1" w:line="22" w:lineRule="atLeast"/>
        <w:ind w:left="284" w:hanging="284"/>
        <w:jc w:val="both"/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</w:pPr>
      <w:r w:rsidRPr="0027420A"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  <w:t>zgłoszenie szkody uwzględniające datę, miejsce i okoliczności powstania szkody,</w:t>
      </w:r>
    </w:p>
    <w:p w14:paraId="2CA4FDE3" w14:textId="77777777" w:rsidR="0027420A" w:rsidRPr="0027420A" w:rsidRDefault="0027420A" w:rsidP="0027420A">
      <w:pPr>
        <w:pStyle w:val="Akapitzlist"/>
        <w:numPr>
          <w:ilvl w:val="2"/>
          <w:numId w:val="11"/>
        </w:numPr>
        <w:spacing w:before="100" w:beforeAutospacing="1" w:line="22" w:lineRule="atLeast"/>
        <w:ind w:left="284" w:hanging="284"/>
        <w:jc w:val="both"/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</w:pPr>
      <w:r w:rsidRPr="0027420A"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  <w:t>rachunki za naprawę oraz zakup części, ewentualnie kosztorys naprawy,</w:t>
      </w:r>
    </w:p>
    <w:p w14:paraId="50ACCA9A" w14:textId="77777777" w:rsidR="0027420A" w:rsidRPr="0027420A" w:rsidRDefault="0027420A" w:rsidP="0027420A">
      <w:pPr>
        <w:pStyle w:val="Akapitzlist"/>
        <w:numPr>
          <w:ilvl w:val="2"/>
          <w:numId w:val="11"/>
        </w:numPr>
        <w:spacing w:before="100" w:beforeAutospacing="1" w:line="22" w:lineRule="atLeast"/>
        <w:ind w:left="284" w:hanging="284"/>
        <w:jc w:val="both"/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</w:pPr>
      <w:r w:rsidRPr="0027420A"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  <w:t>notatka policyjna - w przypadku szkód powstałych w wyniku czynów karalnych,</w:t>
      </w:r>
    </w:p>
    <w:p w14:paraId="0FE54752" w14:textId="77777777" w:rsidR="0027420A" w:rsidRPr="0027420A" w:rsidRDefault="0027420A" w:rsidP="0027420A">
      <w:pPr>
        <w:pStyle w:val="Akapitzlist"/>
        <w:numPr>
          <w:ilvl w:val="2"/>
          <w:numId w:val="11"/>
        </w:numPr>
        <w:spacing w:before="100" w:beforeAutospacing="1" w:line="22" w:lineRule="atLeast"/>
        <w:ind w:left="284" w:hanging="284"/>
        <w:jc w:val="both"/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</w:pPr>
      <w:r w:rsidRPr="0027420A"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  <w:t>zdjęcia całego pojazdu, z widoczną tablicą rejestracyjną,</w:t>
      </w:r>
    </w:p>
    <w:p w14:paraId="69EDD24E" w14:textId="77777777" w:rsidR="0027420A" w:rsidRPr="0027420A" w:rsidRDefault="0027420A" w:rsidP="0027420A">
      <w:pPr>
        <w:pStyle w:val="Akapitzlist"/>
        <w:numPr>
          <w:ilvl w:val="2"/>
          <w:numId w:val="11"/>
        </w:numPr>
        <w:spacing w:before="100" w:beforeAutospacing="1" w:line="22" w:lineRule="atLeast"/>
        <w:ind w:left="284" w:hanging="284"/>
        <w:jc w:val="both"/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</w:pPr>
      <w:r w:rsidRPr="0027420A"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  <w:t>zdjęcia dokumentujące zakres uszkodzeń; w przypadku uszkodzeń mało widocznych należy je zaznaczyć poprzez przyłożenie wskaźnika np. długopisu albo obrysować np. przy pomocy flamastra.</w:t>
      </w:r>
    </w:p>
    <w:p w14:paraId="63A9D90B" w14:textId="77777777" w:rsidR="0027420A" w:rsidRPr="0027420A" w:rsidRDefault="0027420A" w:rsidP="0027420A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Times New Roman" w:cs="Segoe UI"/>
          <w:b/>
          <w:bCs/>
          <w:color w:val="1F4E79" w:themeColor="accent5" w:themeShade="80"/>
          <w:sz w:val="22"/>
          <w:lang w:eastAsia="pl-PL"/>
        </w:rPr>
      </w:pPr>
      <w:r w:rsidRPr="0027420A">
        <w:rPr>
          <w:rFonts w:cs="Segoe UI"/>
          <w:b/>
          <w:bCs/>
          <w:color w:val="1F4E79" w:themeColor="accent5" w:themeShade="80"/>
          <w:sz w:val="22"/>
        </w:rPr>
        <w:t>koszty podlegają weryfikacji zgodnie z OWU.”</w:t>
      </w:r>
    </w:p>
    <w:p w14:paraId="648CD9F0" w14:textId="7047D309" w:rsidR="00E02072" w:rsidRPr="0027420A" w:rsidRDefault="0027420A" w:rsidP="0027420A">
      <w:pPr>
        <w:suppressAutoHyphens/>
        <w:spacing w:after="0" w:line="240" w:lineRule="auto"/>
        <w:ind w:left="284" w:hanging="284"/>
        <w:jc w:val="both"/>
        <w:rPr>
          <w:rFonts w:ascii="Segoe UI" w:hAnsi="Segoe UI" w:cs="Segoe UI"/>
          <w:lang w:eastAsia="ar-SA"/>
        </w:rPr>
      </w:pPr>
      <w:r w:rsidRPr="0027420A">
        <w:rPr>
          <w:rFonts w:ascii="Segoe UI" w:hAnsi="Segoe UI" w:cs="Segoe UI"/>
          <w:lang w:eastAsia="ar-SA"/>
        </w:rPr>
        <w:t xml:space="preserve">Powyższe należy uwzględnić składając ofertę. </w:t>
      </w:r>
    </w:p>
    <w:p w14:paraId="12B8C47F" w14:textId="315348AC" w:rsidR="008275C9" w:rsidRPr="00A35466" w:rsidRDefault="008275C9" w:rsidP="00A35466">
      <w:pPr>
        <w:jc w:val="both"/>
        <w:rPr>
          <w:rFonts w:ascii="Open Sans" w:hAnsi="Open Sans" w:cs="Open Sans"/>
          <w:sz w:val="18"/>
          <w:szCs w:val="18"/>
        </w:rPr>
      </w:pPr>
    </w:p>
    <w:sectPr w:rsidR="008275C9" w:rsidRPr="00A35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C4DA" w14:textId="77777777" w:rsidR="00F43DBB" w:rsidRDefault="00F43DBB" w:rsidP="00120FD6">
      <w:pPr>
        <w:spacing w:after="0" w:line="240" w:lineRule="auto"/>
      </w:pPr>
      <w:r>
        <w:separator/>
      </w:r>
    </w:p>
  </w:endnote>
  <w:endnote w:type="continuationSeparator" w:id="0">
    <w:p w14:paraId="670897DD" w14:textId="77777777" w:rsidR="00F43DBB" w:rsidRDefault="00F43DBB" w:rsidP="001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85B" w14:textId="77777777" w:rsidR="00120FD6" w:rsidRDefault="00120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012" w14:textId="77777777" w:rsidR="00120FD6" w:rsidRDefault="00120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6FE2" w14:textId="77777777" w:rsidR="00120FD6" w:rsidRDefault="0012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F476" w14:textId="77777777" w:rsidR="00F43DBB" w:rsidRDefault="00F43DBB" w:rsidP="00120FD6">
      <w:pPr>
        <w:spacing w:after="0" w:line="240" w:lineRule="auto"/>
      </w:pPr>
      <w:r>
        <w:separator/>
      </w:r>
    </w:p>
  </w:footnote>
  <w:footnote w:type="continuationSeparator" w:id="0">
    <w:p w14:paraId="6B63594E" w14:textId="77777777" w:rsidR="00F43DBB" w:rsidRDefault="00F43DBB" w:rsidP="001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BF80" w14:textId="77777777" w:rsidR="00120FD6" w:rsidRDefault="00120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BF90" w14:textId="07CCB335" w:rsidR="00120FD6" w:rsidRDefault="00120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C59168" wp14:editId="488552C8">
          <wp:simplePos x="0" y="0"/>
          <wp:positionH relativeFrom="page">
            <wp:posOffset>668655</wp:posOffset>
          </wp:positionH>
          <wp:positionV relativeFrom="paragraph">
            <wp:posOffset>-85725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7FB5" w14:textId="77777777" w:rsidR="00120FD6" w:rsidRDefault="0012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4F43"/>
    <w:multiLevelType w:val="hybridMultilevel"/>
    <w:tmpl w:val="EDE04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024CCDE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" w15:restartNumberingAfterBreak="0">
    <w:nsid w:val="2AC75572"/>
    <w:multiLevelType w:val="hybridMultilevel"/>
    <w:tmpl w:val="F8D47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634"/>
    <w:multiLevelType w:val="hybridMultilevel"/>
    <w:tmpl w:val="FB4A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77EB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209E"/>
    <w:multiLevelType w:val="multilevel"/>
    <w:tmpl w:val="2DAEE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1F4042"/>
    <w:multiLevelType w:val="hybridMultilevel"/>
    <w:tmpl w:val="DBF270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36"/>
    <w:rsid w:val="000B631A"/>
    <w:rsid w:val="00120FD6"/>
    <w:rsid w:val="0027420A"/>
    <w:rsid w:val="003B0D1D"/>
    <w:rsid w:val="003E7EC4"/>
    <w:rsid w:val="004F04DD"/>
    <w:rsid w:val="005556B5"/>
    <w:rsid w:val="005A2811"/>
    <w:rsid w:val="005A3BAB"/>
    <w:rsid w:val="0064772F"/>
    <w:rsid w:val="00671650"/>
    <w:rsid w:val="007D696F"/>
    <w:rsid w:val="008275C9"/>
    <w:rsid w:val="00832D97"/>
    <w:rsid w:val="008E0AEA"/>
    <w:rsid w:val="00966F36"/>
    <w:rsid w:val="0098515E"/>
    <w:rsid w:val="00A35466"/>
    <w:rsid w:val="00C80839"/>
    <w:rsid w:val="00CF1A0F"/>
    <w:rsid w:val="00E02072"/>
    <w:rsid w:val="00E12A4C"/>
    <w:rsid w:val="00E21B8E"/>
    <w:rsid w:val="00E4336B"/>
    <w:rsid w:val="00F36FB7"/>
    <w:rsid w:val="00F43DBB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58656A"/>
  <w15:chartTrackingRefBased/>
  <w15:docId w15:val="{4A8A0F2B-9186-4DC2-AEB7-D78C579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7D69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D696F"/>
    <w:rPr>
      <w:b/>
      <w:bCs/>
    </w:rPr>
  </w:style>
  <w:style w:type="paragraph" w:styleId="Akapitzlist">
    <w:name w:val="List Paragraph"/>
    <w:aliases w:val="normalny tekst,Preambuła,T_SZ_List Paragraph,Wypunktowanie,ISCG Numerowanie,lp1,CW_Lista,maz_wyliczenie,opis dzialania,K-P_odwolanie,A_wyliczenie,Akapit z listą 1,Table of contents numbered,Akapit z listą5,Numerowanie,BulletC,Wyliczanie"/>
    <w:basedOn w:val="Normalny"/>
    <w:link w:val="AkapitzlistZnak"/>
    <w:uiPriority w:val="34"/>
    <w:qFormat/>
    <w:rsid w:val="008E0AEA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aliases w:val="normalny tekst Znak,Preambuła Znak,T_SZ_List Paragraph Znak,Wypunktowanie Znak,ISCG Numerowanie Znak,lp1 Znak,CW_Lista Znak,maz_wyliczenie Znak,opis dzialania Znak,K-P_odwolanie Znak,A_wyliczenie Znak,Akapit z listą 1 Znak"/>
    <w:link w:val="Akapitzlist"/>
    <w:uiPriority w:val="34"/>
    <w:qFormat/>
    <w:locked/>
    <w:rsid w:val="008E0AEA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FD6"/>
  </w:style>
  <w:style w:type="paragraph" w:styleId="Stopka">
    <w:name w:val="footer"/>
    <w:basedOn w:val="Normalny"/>
    <w:link w:val="Stopka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FD6"/>
  </w:style>
  <w:style w:type="paragraph" w:customStyle="1" w:styleId="v1msonormal">
    <w:name w:val="v1msonormal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742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2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Piotrowski Sławomir</cp:lastModifiedBy>
  <cp:revision>12</cp:revision>
  <dcterms:created xsi:type="dcterms:W3CDTF">2022-12-22T07:50:00Z</dcterms:created>
  <dcterms:modified xsi:type="dcterms:W3CDTF">2023-03-17T13:12:00Z</dcterms:modified>
</cp:coreProperties>
</file>