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DA1A5" w14:textId="5471821F" w:rsidR="00C67201" w:rsidRPr="009D6E57" w:rsidRDefault="008831A9" w:rsidP="009D6E57">
      <w:pPr>
        <w:jc w:val="right"/>
        <w:rPr>
          <w:rFonts w:cstheme="minorHAnsi"/>
          <w:b/>
        </w:rPr>
      </w:pPr>
      <w:r w:rsidRPr="009D6E57">
        <w:rPr>
          <w:rFonts w:cstheme="minorHAnsi"/>
          <w:b/>
          <w:bCs/>
        </w:rPr>
        <w:t xml:space="preserve"> </w:t>
      </w:r>
      <w:r w:rsidRPr="009D6E57">
        <w:rPr>
          <w:rFonts w:cstheme="minorHAnsi"/>
          <w:b/>
          <w:bCs/>
        </w:rPr>
        <w:tab/>
      </w:r>
      <w:r w:rsidR="009D6E57">
        <w:rPr>
          <w:rFonts w:cstheme="minorHAnsi"/>
          <w:b/>
          <w:bCs/>
        </w:rPr>
        <w:t xml:space="preserve">              </w:t>
      </w:r>
      <w:r w:rsidRPr="009D6E57">
        <w:rPr>
          <w:rFonts w:cstheme="minorHAnsi"/>
          <w:b/>
          <w:bCs/>
        </w:rPr>
        <w:tab/>
      </w:r>
      <w:r w:rsidRPr="009D6E57">
        <w:rPr>
          <w:rFonts w:cstheme="minorHAnsi"/>
          <w:b/>
          <w:bCs/>
        </w:rPr>
        <w:tab/>
      </w:r>
      <w:r w:rsidR="00C67201" w:rsidRPr="009D6E57">
        <w:rPr>
          <w:rFonts w:cstheme="minorHAnsi"/>
          <w:b/>
          <w:bCs/>
        </w:rPr>
        <w:t xml:space="preserve">  Załącznik nr 10 do </w:t>
      </w:r>
      <w:r w:rsidRPr="009D6E57">
        <w:rPr>
          <w:rFonts w:cstheme="minorHAnsi"/>
          <w:b/>
          <w:bCs/>
        </w:rPr>
        <w:t xml:space="preserve">wzoru </w:t>
      </w:r>
      <w:r w:rsidR="00C67201" w:rsidRPr="009D6E57">
        <w:rPr>
          <w:rFonts w:cstheme="minorHAnsi"/>
          <w:b/>
          <w:bCs/>
        </w:rPr>
        <w:t>umowy ZP/</w:t>
      </w:r>
      <w:r w:rsidR="00E53B22">
        <w:rPr>
          <w:rFonts w:cstheme="minorHAnsi"/>
          <w:b/>
          <w:bCs/>
        </w:rPr>
        <w:t>1</w:t>
      </w:r>
      <w:bookmarkStart w:id="0" w:name="_GoBack"/>
      <w:bookmarkEnd w:id="0"/>
      <w:r w:rsidR="00DE5090">
        <w:rPr>
          <w:rFonts w:cstheme="minorHAnsi"/>
          <w:b/>
          <w:bCs/>
        </w:rPr>
        <w:t>32</w:t>
      </w:r>
      <w:r w:rsidR="00C67201" w:rsidRPr="009D6E57">
        <w:rPr>
          <w:rFonts w:cstheme="minorHAnsi"/>
          <w:b/>
          <w:bCs/>
        </w:rPr>
        <w:t>/</w:t>
      </w:r>
      <w:r w:rsidR="00C67201" w:rsidRPr="009D6E57">
        <w:rPr>
          <w:rFonts w:cstheme="minorHAnsi"/>
          <w:b/>
        </w:rPr>
        <w:t>202</w:t>
      </w:r>
      <w:r w:rsidR="00DE5090">
        <w:rPr>
          <w:rFonts w:cstheme="minorHAnsi"/>
          <w:b/>
        </w:rPr>
        <w:t>2</w:t>
      </w:r>
      <w:r w:rsidRPr="009D6E57">
        <w:rPr>
          <w:rFonts w:cstheme="minorHAnsi"/>
          <w:b/>
        </w:rPr>
        <w:t xml:space="preserve"> </w:t>
      </w:r>
    </w:p>
    <w:p w14:paraId="0A8EE088" w14:textId="77777777" w:rsidR="001F4E91" w:rsidRDefault="001F4E91" w:rsidP="001F4E91">
      <w:pPr>
        <w:jc w:val="center"/>
        <w:rPr>
          <w:rFonts w:cstheme="minorHAnsi"/>
          <w:b/>
          <w:bCs/>
          <w:color w:val="002060"/>
          <w:sz w:val="28"/>
          <w:szCs w:val="28"/>
        </w:rPr>
      </w:pPr>
      <w:bookmarkStart w:id="1"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1"/>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End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2001B8">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2001B8">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2001B8">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2001B8">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2001B8">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2001B8">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2001B8">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2001B8">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2001B8">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2001B8">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2001B8">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2001B8">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2001B8">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2001B8">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2001B8">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2001B8">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2001B8">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2001B8">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2001B8">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2001B8">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2001B8">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2001B8">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2001B8">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2001B8">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2001B8">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2001B8">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2001B8">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2001B8">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2001B8">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2001B8">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2001B8">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2001B8">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2001B8">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2001B8">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2001B8">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2001B8">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2001B8">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2001B8">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2001B8">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2001B8">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2001B8">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2" w:name="_Toc67930477"/>
      <w:bookmarkStart w:id="3" w:name="_Toc68183589"/>
      <w:bookmarkStart w:id="4" w:name="_Hlk67913182"/>
      <w:r w:rsidRPr="00267163">
        <w:t>Informacj</w:t>
      </w:r>
      <w:r w:rsidR="001556D4" w:rsidRPr="00267163">
        <w:t>e</w:t>
      </w:r>
      <w:r w:rsidRPr="00267163">
        <w:t xml:space="preserve"> o projekcie</w:t>
      </w:r>
      <w:bookmarkEnd w:id="2"/>
      <w:bookmarkEnd w:id="3"/>
      <w:r w:rsidRPr="00267163">
        <w:t xml:space="preserve"> </w:t>
      </w:r>
    </w:p>
    <w:p w14:paraId="2BA84BB9" w14:textId="77777777" w:rsidR="0030708B" w:rsidRDefault="00C8220D" w:rsidP="0030708B">
      <w:pPr>
        <w:pStyle w:val="Nagwek3"/>
      </w:pPr>
      <w:bookmarkStart w:id="5" w:name="_Toc68183590"/>
      <w:bookmarkEnd w:id="4"/>
      <w:r w:rsidRPr="00D5357A">
        <w:t>N</w:t>
      </w:r>
      <w:r w:rsidR="0030708B">
        <w:t>azwa projektu</w:t>
      </w:r>
      <w:bookmarkEnd w:id="5"/>
    </w:p>
    <w:p w14:paraId="4D24FD3C" w14:textId="77777777" w:rsidR="00433DFF" w:rsidRDefault="00433DFF" w:rsidP="0030708B">
      <w:pPr>
        <w:pStyle w:val="Nagwek3"/>
        <w:rPr>
          <w:b w:val="0"/>
          <w:bCs w:val="0"/>
          <w:color w:val="auto"/>
          <w:sz w:val="22"/>
          <w:szCs w:val="22"/>
        </w:rPr>
      </w:pPr>
      <w:bookmarkStart w:id="6" w:name="_Toc68183591"/>
      <w:r w:rsidRPr="00433DFF">
        <w:rPr>
          <w:b w:val="0"/>
          <w:bCs w:val="0"/>
          <w:color w:val="auto"/>
          <w:sz w:val="22"/>
          <w:szCs w:val="22"/>
        </w:rPr>
        <w:t xml:space="preserve">Głęboka termomodernizacja strategicznego budynku kampusu Centrum Kliniczno-Dydaktycznego Uniwersytetu Medycznego w Łodzi </w:t>
      </w:r>
    </w:p>
    <w:p w14:paraId="77E6C1A2" w14:textId="19903A9B" w:rsidR="0030708B" w:rsidRDefault="0030708B" w:rsidP="0030708B">
      <w:pPr>
        <w:pStyle w:val="Nagwek3"/>
      </w:pPr>
      <w:r>
        <w:t>Zamawiający</w:t>
      </w:r>
      <w:bookmarkEnd w:id="6"/>
    </w:p>
    <w:p w14:paraId="49CE71CC" w14:textId="0FF087A3" w:rsidR="00433DFF"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7" w:name="_Toc68183592"/>
      <w:r w:rsidRPr="00D5357A">
        <w:t>Miej</w:t>
      </w:r>
      <w:r w:rsidR="00EC55BC" w:rsidRPr="00D5357A">
        <w:t>s</w:t>
      </w:r>
      <w:r w:rsidR="0030708B">
        <w:t>ce realizacji</w:t>
      </w:r>
      <w:bookmarkEnd w:id="7"/>
    </w:p>
    <w:p w14:paraId="029BEB4F" w14:textId="7F03B483"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8" w:name="_Toc68183593"/>
      <w:r>
        <w:t>Krótki opis inwestycji</w:t>
      </w:r>
      <w:bookmarkEnd w:id="8"/>
    </w:p>
    <w:p w14:paraId="36BFEE3A" w14:textId="33297CD9" w:rsidR="0072226D" w:rsidRPr="0072226D" w:rsidRDefault="0072226D" w:rsidP="0072226D">
      <w:pPr>
        <w:pStyle w:val="Nagwek3"/>
        <w:rPr>
          <w:b w:val="0"/>
          <w:bCs w:val="0"/>
          <w:color w:val="auto"/>
        </w:rPr>
      </w:pPr>
      <w:bookmarkStart w:id="9" w:name="_Toc68183594"/>
      <w:r w:rsidRPr="0072226D">
        <w:rPr>
          <w:b w:val="0"/>
          <w:bCs w:val="0"/>
          <w:color w:val="auto"/>
        </w:rPr>
        <w:t>Przedsięwzięcie polega na termomodernizacji budynku A1 stanowiącego część kompleksu Centrum Kliniczno - Dydaktycznego Uniwersytetu Medycznego w Łodzi zlokalizowanego we wschodniej części miasta.</w:t>
      </w:r>
    </w:p>
    <w:p w14:paraId="1DE40A62" w14:textId="5B3780FD" w:rsidR="0072226D" w:rsidRPr="0072226D" w:rsidRDefault="0072226D" w:rsidP="0030708B">
      <w:pPr>
        <w:pStyle w:val="Nagwek3"/>
        <w:rPr>
          <w:b w:val="0"/>
          <w:bCs w:val="0"/>
          <w:color w:val="auto"/>
        </w:rPr>
      </w:pPr>
      <w:r w:rsidRPr="0072226D">
        <w:rPr>
          <w:b w:val="0"/>
          <w:bCs w:val="0"/>
          <w:color w:val="auto"/>
        </w:rPr>
        <w:t xml:space="preserve">Głęboka termomodernizacja budynku A1 polegać będzie </w:t>
      </w:r>
      <w:r w:rsidR="000E3C8B">
        <w:rPr>
          <w:b w:val="0"/>
          <w:bCs w:val="0"/>
          <w:color w:val="auto"/>
        </w:rPr>
        <w:t xml:space="preserve">m.in, </w:t>
      </w:r>
      <w:r w:rsidRPr="0072226D">
        <w:rPr>
          <w:b w:val="0"/>
          <w:bCs w:val="0"/>
          <w:color w:val="auto"/>
        </w:rPr>
        <w:t>na: termomodernizacji elewacji, wymianie okien i drzwi</w:t>
      </w:r>
      <w:r w:rsidR="00FC54B8">
        <w:rPr>
          <w:b w:val="0"/>
          <w:bCs w:val="0"/>
          <w:color w:val="auto"/>
        </w:rPr>
        <w:t>,</w:t>
      </w:r>
      <w:r w:rsidRPr="0072226D">
        <w:rPr>
          <w:b w:val="0"/>
          <w:bCs w:val="0"/>
          <w:color w:val="auto"/>
        </w:rPr>
        <w:t xml:space="preserve"> termomodernizacji ścian w gruncie, montaż instalacji fotowoltaicznej zintegrowanej z elewacją południową budynku, wymiana oświetlenia podstawowego na energooszczędne oświetlenie LED, rozbudowie systemu BMS, pompy </w:t>
      </w:r>
      <w:r w:rsidR="000E3C8B">
        <w:rPr>
          <w:b w:val="0"/>
          <w:bCs w:val="0"/>
          <w:color w:val="auto"/>
        </w:rPr>
        <w:t>cie</w:t>
      </w:r>
      <w:r w:rsidRPr="0072226D">
        <w:rPr>
          <w:b w:val="0"/>
          <w:bCs w:val="0"/>
          <w:color w:val="auto"/>
        </w:rPr>
        <w:t>pła do c.w.u.</w:t>
      </w:r>
      <w:r w:rsidR="00FC54B8">
        <w:rPr>
          <w:b w:val="0"/>
          <w:bCs w:val="0"/>
          <w:color w:val="auto"/>
        </w:rPr>
        <w:t xml:space="preserve"> </w:t>
      </w:r>
      <w:r w:rsidR="000E3C8B">
        <w:rPr>
          <w:b w:val="0"/>
          <w:bCs w:val="0"/>
          <w:color w:val="auto"/>
        </w:rPr>
        <w:t xml:space="preserve"> Szczegółowy zakres prac został opisany w PFU.</w:t>
      </w:r>
    </w:p>
    <w:p w14:paraId="0CFE5A22" w14:textId="3F6EEF6D" w:rsidR="001C566C" w:rsidRPr="0030708B" w:rsidRDefault="001C566C" w:rsidP="0030708B">
      <w:pPr>
        <w:pStyle w:val="Nagwek3"/>
      </w:pPr>
      <w:r w:rsidRPr="0030708B">
        <w:t>Definicje</w:t>
      </w:r>
      <w:bookmarkEnd w:id="9"/>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r w:rsidRPr="008E45B3">
        <w:rPr>
          <w:rFonts w:cstheme="minorHAnsi"/>
          <w:b/>
          <w:bCs/>
        </w:rPr>
        <w:t>EIR –</w:t>
      </w:r>
      <w:r w:rsidR="00BC1A30" w:rsidRPr="00BC1A30">
        <w:rPr>
          <w:rFonts w:cstheme="minorHAnsi"/>
          <w:b/>
          <w:bCs/>
        </w:rPr>
        <w:t xml:space="preserve"> Employer's Information Requirements</w:t>
      </w:r>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BIM – Building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BIM – Building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w:t>
      </w:r>
      <w:r w:rsidRPr="00EC55BC">
        <w:rPr>
          <w:rFonts w:cstheme="minorHAnsi"/>
        </w:rPr>
        <w:lastRenderedPageBreak/>
        <w:t>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r w:rsidRPr="00EC55BC">
        <w:rPr>
          <w:rFonts w:cstheme="minorHAnsi"/>
          <w:b/>
          <w:bCs/>
        </w:rPr>
        <w:t>IFC – Industry Foundation Classes</w:t>
      </w:r>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r w:rsidRPr="00EC55BC">
        <w:rPr>
          <w:rFonts w:cstheme="minorHAnsi"/>
          <w:b/>
          <w:bCs/>
        </w:rPr>
        <w:t>COBie – Construction Operation Building information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Detail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lastRenderedPageBreak/>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10" w:name="_Hlk67913510"/>
      <w:r w:rsidRPr="00847CC0">
        <w:rPr>
          <w:rFonts w:cstheme="minorHAnsi"/>
          <w:b/>
          <w:bCs/>
        </w:rPr>
        <w:t>6D</w:t>
      </w:r>
      <w:r w:rsidRPr="005A611D">
        <w:rPr>
          <w:rFonts w:cstheme="minorHAnsi"/>
        </w:rPr>
        <w:t xml:space="preserve"> </w:t>
      </w:r>
      <w:bookmarkStart w:id="11"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1"/>
      <w:r w:rsidRPr="00EC55BC">
        <w:rPr>
          <w:rFonts w:cstheme="minorHAnsi"/>
        </w:rPr>
        <w:t xml:space="preserve"> Dane zawarte w modelu 6D są wykorzystywane np. przy analizie energetycznej obiektu. </w:t>
      </w:r>
    </w:p>
    <w:bookmarkEnd w:id="10"/>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2" w:name="_Toc67930478"/>
      <w:bookmarkStart w:id="13" w:name="_Toc68183595"/>
      <w:r w:rsidRPr="00BB6C0A">
        <w:t>Cele</w:t>
      </w:r>
      <w:bookmarkEnd w:id="12"/>
      <w:bookmarkEnd w:id="13"/>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52B06000" w:rsidR="00FA21D0" w:rsidRPr="00EC55BC" w:rsidRDefault="0072226D" w:rsidP="00EE5679">
      <w:pPr>
        <w:numPr>
          <w:ilvl w:val="0"/>
          <w:numId w:val="7"/>
        </w:numPr>
        <w:spacing w:line="236" w:lineRule="auto"/>
        <w:jc w:val="both"/>
        <w:rPr>
          <w:rFonts w:eastAsia="Times New Roman" w:cstheme="minorHAnsi"/>
        </w:rPr>
      </w:pPr>
      <w:r w:rsidRPr="0072226D">
        <w:rPr>
          <w:rFonts w:cstheme="minorHAnsi"/>
        </w:rPr>
        <w:t xml:space="preserve">poprawa efektywności energetycznej budynku użyteczności publicznej wykorzystywanego w działalności zarówno </w:t>
      </w:r>
      <w:r w:rsidR="00FC54B8">
        <w:rPr>
          <w:rFonts w:cstheme="minorHAnsi"/>
        </w:rPr>
        <w:t>Uniwersytetu Medycznego</w:t>
      </w:r>
      <w:r w:rsidRPr="0072226D">
        <w:rPr>
          <w:rFonts w:cstheme="minorHAnsi"/>
        </w:rPr>
        <w:t xml:space="preserve"> w Łodzi, jak i SPZOZ CSK UM w Łodzi</w:t>
      </w:r>
      <w:r w:rsidR="008A4420">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6C7CC9B7" w:rsidR="00FA21D0" w:rsidRPr="00A8199A"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0A534FBE" w14:textId="2920D491" w:rsidR="00A8199A" w:rsidRPr="00EC55BC" w:rsidRDefault="00A8199A" w:rsidP="00EE5679">
      <w:pPr>
        <w:numPr>
          <w:ilvl w:val="0"/>
          <w:numId w:val="7"/>
        </w:numPr>
        <w:spacing w:line="236" w:lineRule="auto"/>
        <w:jc w:val="both"/>
        <w:rPr>
          <w:rFonts w:eastAsia="Times New Roman" w:cstheme="minorHAnsi"/>
        </w:rPr>
      </w:pPr>
      <w:r>
        <w:rPr>
          <w:rFonts w:cstheme="minorHAnsi"/>
        </w:rPr>
        <w:t>zwiększenie zdolności wytwarzania energii ze źródeł odnawialnych;</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B5C54D4" w:rsid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202F50F0" w14:textId="77777777" w:rsidR="000E3C8B" w:rsidRPr="008A4420" w:rsidRDefault="000E3C8B" w:rsidP="008A4420">
      <w:pPr>
        <w:spacing w:line="236" w:lineRule="auto"/>
        <w:contextualSpacing/>
        <w:jc w:val="both"/>
        <w:rPr>
          <w:rFonts w:eastAsia="Arial" w:cstheme="minorHAnsi"/>
          <w:b/>
        </w:rPr>
      </w:pP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4"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4"/>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lastRenderedPageBreak/>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ostęp do aktualnych i 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3C3E4CB5"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(AI</w:t>
      </w:r>
      <w:r w:rsidRPr="00EC55BC">
        <w:rPr>
          <w:rFonts w:cstheme="minorHAnsi"/>
          <w:bCs/>
        </w:rPr>
        <w:t>M –Asset Infromation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00A8199A">
        <w:rPr>
          <w:rFonts w:cstheme="minorHAnsi"/>
          <w:bCs/>
        </w:rPr>
        <w:t xml:space="preserve"> oraz inne dane ustalone z Zamawiającym na etapie realizacji</w:t>
      </w:r>
      <w:r w:rsidR="00A851D0">
        <w:rPr>
          <w:rFonts w:cstheme="minorHAnsi"/>
          <w:bCs/>
        </w:rPr>
        <w:t>.</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5" w:name="_Toc67930479"/>
      <w:bookmarkStart w:id="16" w:name="_Toc68183596"/>
      <w:r w:rsidRPr="0030708B">
        <w:t xml:space="preserve">Wymagania </w:t>
      </w:r>
      <w:r w:rsidR="003F3BD9" w:rsidRPr="0030708B">
        <w:t>w zakresie zarządzania</w:t>
      </w:r>
      <w:bookmarkEnd w:id="15"/>
      <w:bookmarkEnd w:id="16"/>
    </w:p>
    <w:p w14:paraId="6DA8DFCF" w14:textId="77777777" w:rsidR="003F3BD9" w:rsidRPr="0030708B" w:rsidRDefault="003F3BD9" w:rsidP="0030708B">
      <w:pPr>
        <w:pStyle w:val="Nagwek3"/>
      </w:pPr>
      <w:bookmarkStart w:id="17" w:name="_Toc68183597"/>
      <w:r w:rsidRPr="0030708B">
        <w:t>Plan Wykonania BIM (BEP – BIM Execution Plan)</w:t>
      </w:r>
      <w:bookmarkEnd w:id="17"/>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7777777" w:rsidR="003F3BD9" w:rsidRDefault="003F3BD9" w:rsidP="003F3BD9">
      <w:pPr>
        <w:jc w:val="both"/>
        <w:rPr>
          <w:rFonts w:cstheme="minorHAnsi"/>
        </w:rPr>
      </w:pPr>
      <w:r>
        <w:rPr>
          <w:rFonts w:cstheme="minorHAnsi"/>
        </w:rPr>
        <w:t xml:space="preserve">Zamawiający nie narzuca Wykonawcy wymogów i wzoru w zakresie </w:t>
      </w:r>
      <w:r w:rsidRPr="003F3BD9">
        <w:rPr>
          <w:rFonts w:cstheme="minorHAnsi"/>
        </w:rPr>
        <w:t>BEP</w:t>
      </w:r>
      <w:r>
        <w:rPr>
          <w:rFonts w:cstheme="minorHAnsi"/>
        </w:rPr>
        <w:t>, który</w:t>
      </w:r>
      <w:r w:rsidRPr="003F3BD9">
        <w:rPr>
          <w:rFonts w:cstheme="minorHAnsi"/>
        </w:rPr>
        <w:t xml:space="preserve"> </w:t>
      </w:r>
      <w:r>
        <w:rPr>
          <w:rFonts w:cstheme="minorHAnsi"/>
        </w:rPr>
        <w:t xml:space="preserve">zostanie </w:t>
      </w:r>
      <w:r w:rsidRPr="003F3BD9">
        <w:rPr>
          <w:rFonts w:cstheme="minorHAnsi"/>
        </w:rPr>
        <w:t xml:space="preserve">przygotowywany </w:t>
      </w:r>
      <w:r w:rsidR="00B94EDF">
        <w:rPr>
          <w:rFonts w:cstheme="minorHAnsi"/>
        </w:rPr>
        <w:t xml:space="preserve">i przekazany </w:t>
      </w:r>
      <w:r w:rsidRPr="003F3BD9">
        <w:rPr>
          <w:rFonts w:cstheme="minorHAnsi"/>
        </w:rPr>
        <w:t xml:space="preserve">przez Wykonawcę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301B2FB1" w14:textId="77777777" w:rsidR="00C81BC8" w:rsidRPr="00267163" w:rsidRDefault="00C81BC8" w:rsidP="00267163">
      <w:pPr>
        <w:pStyle w:val="Nagwek2"/>
      </w:pPr>
      <w:bookmarkStart w:id="18" w:name="_Toc68183598"/>
      <w:r w:rsidRPr="00267163">
        <w:t>Standardy i normy</w:t>
      </w:r>
      <w:bookmarkEnd w:id="18"/>
    </w:p>
    <w:p w14:paraId="1E015CBD" w14:textId="77777777" w:rsidR="00C81BC8" w:rsidRPr="00C81BC8" w:rsidRDefault="00C81BC8" w:rsidP="00C81BC8">
      <w:pPr>
        <w:jc w:val="both"/>
        <w:rPr>
          <w:rFonts w:cstheme="minorHAnsi"/>
        </w:rPr>
      </w:pPr>
      <w:r w:rsidRPr="00C81BC8">
        <w:rPr>
          <w:rFonts w:cstheme="minorHAnsi"/>
        </w:rPr>
        <w:lastRenderedPageBreak/>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9" w:name="_Toc68183599"/>
      <w:r w:rsidRPr="00BB6C0A">
        <w:t>Standardy nazewnictwa kontenerów danych</w:t>
      </w:r>
      <w:bookmarkEnd w:id="19"/>
    </w:p>
    <w:p w14:paraId="751E2883" w14:textId="00B27BE5" w:rsidR="00C81BC8" w:rsidRPr="00C81BC8" w:rsidRDefault="00C81BC8" w:rsidP="00C81BC8">
      <w:pPr>
        <w:jc w:val="both"/>
        <w:rPr>
          <w:rFonts w:cstheme="minorHAnsi"/>
        </w:rPr>
      </w:pPr>
      <w:r w:rsidRPr="00C81BC8">
        <w:rPr>
          <w:rFonts w:cstheme="minorHAnsi"/>
        </w:rPr>
        <w:t>Zamawiający oczekuje</w:t>
      </w:r>
      <w:r w:rsidR="007700FE">
        <w:rPr>
          <w:rFonts w:cstheme="minorHAnsi"/>
        </w:rPr>
        <w:t xml:space="preserv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sidR="007700FE">
        <w:rPr>
          <w:rFonts w:cstheme="minorHAnsi"/>
        </w:rPr>
        <w:t xml:space="preserve"> i budowy</w:t>
      </w:r>
      <w:r>
        <w:rPr>
          <w:rFonts w:cstheme="minorHAnsi"/>
        </w:rPr>
        <w:t xml:space="preserve">. </w:t>
      </w:r>
      <w:bookmarkStart w:id="20" w:name="_Hlk68035069"/>
      <w:r w:rsidR="007700FE">
        <w:rPr>
          <w:rFonts w:cstheme="minorHAnsi"/>
        </w:rPr>
        <w:t>Standard zostanie uzgodniony z Zamawiającym na etapie realizacji.</w:t>
      </w:r>
    </w:p>
    <w:p w14:paraId="21051B1C" w14:textId="77777777" w:rsidR="000362E9" w:rsidRPr="00BB6C0A" w:rsidRDefault="000362E9" w:rsidP="00267163">
      <w:pPr>
        <w:pStyle w:val="Nagwek2"/>
      </w:pPr>
      <w:bookmarkStart w:id="21" w:name="_Toc68183600"/>
      <w:bookmarkEnd w:id="20"/>
      <w:r w:rsidRPr="00BB6C0A">
        <w:t>Role i zakres odpowiedzialności uczestników</w:t>
      </w:r>
      <w:bookmarkEnd w:id="21"/>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77777777"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2" w:name="_Toc68183601"/>
      <w:r w:rsidRPr="000362E9">
        <w:t>Planowanie pracy i systematyzacja danych</w:t>
      </w:r>
      <w:bookmarkEnd w:id="22"/>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w:t>
      </w:r>
      <w:r w:rsidRPr="000362E9">
        <w:rPr>
          <w:rFonts w:cstheme="minorHAnsi"/>
        </w:rPr>
        <w:lastRenderedPageBreak/>
        <w:t>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3" w:name="_Toc68183602"/>
      <w:r w:rsidRPr="006E0EF9">
        <w:t>Zarządzanie modelem i dokumentacją</w:t>
      </w:r>
      <w:bookmarkEnd w:id="23"/>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1596F5CE"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Think Project</w:t>
      </w:r>
      <w:r w:rsidR="007E716E">
        <w:rPr>
          <w:rFonts w:cstheme="minorHAnsi"/>
        </w:rPr>
        <w:t xml:space="preserve"> udostępnionej przez Wykonawcę</w:t>
      </w:r>
      <w:r>
        <w:rPr>
          <w:rFonts w:cstheme="minorHAnsi"/>
        </w:rPr>
        <w: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4" w:name="_Toc68183603"/>
      <w:r w:rsidRPr="00B01D53">
        <w:t>Bezpieczeństwo danych</w:t>
      </w:r>
      <w:bookmarkEnd w:id="24"/>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lastRenderedPageBreak/>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https, sftp,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5" w:name="_Toc68183604"/>
      <w:r>
        <w:t>Koordynacja i wykrywanie kolizji</w:t>
      </w:r>
      <w:bookmarkEnd w:id="25"/>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lastRenderedPageBreak/>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6" w:name="_Toc68183605"/>
      <w:r w:rsidRPr="00CD1571">
        <w:t>Spotkania i przeglądy modelu</w:t>
      </w:r>
      <w:bookmarkEnd w:id="26"/>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3D730FD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623979CF" w14:textId="77777777" w:rsidR="00390130"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5202D8E8" w14:textId="77777777" w:rsidR="00D613D4" w:rsidRPr="00D613D4" w:rsidRDefault="00D613D4" w:rsidP="00267163">
      <w:pPr>
        <w:pStyle w:val="Nagwek2"/>
      </w:pPr>
      <w:bookmarkStart w:id="27" w:name="_Toc68183606"/>
      <w:r w:rsidRPr="00D613D4">
        <w:t>Zarządzanie BHP</w:t>
      </w:r>
      <w:bookmarkEnd w:id="27"/>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lastRenderedPageBreak/>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8" w:name="_Toc68183607"/>
      <w:r w:rsidRPr="00D613D4">
        <w:t>Plan zgodności</w:t>
      </w:r>
      <w:bookmarkEnd w:id="28"/>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9" w:name="_Toc68183608"/>
      <w:r w:rsidRPr="00A32E56">
        <w:t>Jednostki używane w projekcie</w:t>
      </w:r>
      <w:bookmarkEnd w:id="29"/>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30" w:name="_Toc68183609"/>
      <w:r>
        <w:t>Procesy współpracy</w:t>
      </w:r>
      <w:bookmarkEnd w:id="30"/>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1" w:name="_Toc68183610"/>
      <w:r>
        <w:t>Proce</w:t>
      </w:r>
      <w:r w:rsidR="003F76D1">
        <w:t>dury zapewnienia jakości</w:t>
      </w:r>
      <w:bookmarkEnd w:id="31"/>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w:t>
      </w:r>
      <w:r>
        <w:rPr>
          <w:rFonts w:cstheme="minorHAnsi"/>
        </w:rPr>
        <w:lastRenderedPageBreak/>
        <w:t>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lastRenderedPageBreak/>
        <w:t>Kontrola czy wszystkie pliki wchodzące w skład dokumentacji lub opisane dla poszczególnych Punktów Dostarczenia Danych zostały umieszczone na Platformie Wymiany Danych, mają poprawne numery wersji i są udostępnione wymaganym uczestnikom projektu w wymaganym terminie.</w:t>
      </w:r>
    </w:p>
    <w:p w14:paraId="4A0DC931" w14:textId="153F07C6"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ą na wstępie dokumentacje oraz model w celu identyfikacji niezgodności i kolizji oraz jak najwcześniej</w:t>
      </w:r>
      <w:r w:rsidR="00842647">
        <w:rPr>
          <w:rFonts w:cstheme="minorHAnsi"/>
        </w:rPr>
        <w:t>sz</w:t>
      </w:r>
      <w:r>
        <w:rPr>
          <w:rFonts w:cstheme="minorHAnsi"/>
        </w:rPr>
        <w:t>emu ich usunięciu.</w:t>
      </w:r>
    </w:p>
    <w:p w14:paraId="0DEC4721" w14:textId="77777777" w:rsidR="00CE3B0D" w:rsidRPr="00A32E56" w:rsidRDefault="00CE3B0D" w:rsidP="008E45B3">
      <w:pPr>
        <w:pStyle w:val="Nagwek3"/>
        <w:keepNext/>
      </w:pPr>
      <w:bookmarkStart w:id="32" w:name="_Toc68183611"/>
      <w:r>
        <w:t>Podział modeli</w:t>
      </w:r>
      <w:bookmarkEnd w:id="32"/>
    </w:p>
    <w:p w14:paraId="3C7166CC" w14:textId="68318F70" w:rsidR="00CE3B0D" w:rsidRPr="00C81BC8" w:rsidRDefault="00842647" w:rsidP="00CE3B0D">
      <w:pPr>
        <w:jc w:val="both"/>
        <w:rPr>
          <w:rFonts w:cstheme="minorHAnsi"/>
        </w:rPr>
      </w:pPr>
      <w:r>
        <w:rPr>
          <w:rFonts w:cstheme="minorHAnsi"/>
        </w:rPr>
        <w:t>Zamawiający nie przewiduje podziału modeli. Dokumentację powykonawczą BIM należy scalić z posiadającym przez Zamawiającego modelem.</w:t>
      </w:r>
    </w:p>
    <w:p w14:paraId="65818795" w14:textId="77777777" w:rsidR="00CE3B0D" w:rsidRPr="00BD3057" w:rsidRDefault="00CE3B0D" w:rsidP="00267163">
      <w:pPr>
        <w:pStyle w:val="Nagwek2"/>
      </w:pPr>
      <w:bookmarkStart w:id="33" w:name="_Toc68183612"/>
      <w:r w:rsidRPr="00BD3057">
        <w:t>Strategia dostarczania informacji o zasobach i obiekcie</w:t>
      </w:r>
      <w:bookmarkEnd w:id="33"/>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29E22F29" w:rsidR="007A334F" w:rsidRDefault="007A334F" w:rsidP="007A334F">
      <w:pPr>
        <w:jc w:val="both"/>
        <w:rPr>
          <w:rFonts w:cstheme="minorHAnsi"/>
        </w:rPr>
      </w:pPr>
      <w:r w:rsidRPr="00EC55BC">
        <w:rPr>
          <w:rFonts w:cstheme="minorHAnsi"/>
        </w:rPr>
        <w:t xml:space="preserve">Na etapie prac </w:t>
      </w:r>
      <w:r w:rsidR="00842647">
        <w:rPr>
          <w:rFonts w:cstheme="minorHAnsi"/>
        </w:rPr>
        <w:t>projektowych</w:t>
      </w:r>
      <w:r w:rsidRPr="00EC55BC">
        <w:rPr>
          <w:rFonts w:cstheme="minorHAnsi"/>
        </w:rPr>
        <w:t>,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4" w:name="_Hlk67913360"/>
      <w:r w:rsidRPr="005A611D">
        <w:rPr>
          <w:rFonts w:cstheme="minorHAnsi"/>
        </w:rPr>
        <w:t>Model ma być uaktualniany i będzie służył zamawiającemu do kontroli realizacji inwestycji</w:t>
      </w:r>
      <w:r>
        <w:rPr>
          <w:rFonts w:cstheme="minorHAnsi"/>
        </w:rPr>
        <w:t>;</w:t>
      </w:r>
    </w:p>
    <w:bookmarkEnd w:id="34"/>
    <w:p w14:paraId="4D52C03E" w14:textId="6E4A732F" w:rsidR="007A334F" w:rsidRPr="00EC55BC" w:rsidRDefault="007A334F" w:rsidP="00EE5679">
      <w:pPr>
        <w:pStyle w:val="Akapitzlist"/>
        <w:numPr>
          <w:ilvl w:val="0"/>
          <w:numId w:val="9"/>
        </w:numPr>
        <w:jc w:val="both"/>
        <w:rPr>
          <w:rFonts w:cstheme="minorHAnsi"/>
          <w:b/>
          <w:bCs/>
        </w:rPr>
      </w:pPr>
      <w:r>
        <w:t>modelu BIM 5D pozwalającego na określenie kosztów</w:t>
      </w:r>
      <w:r w:rsidR="00614235">
        <w:t xml:space="preserve"> zgodnie z wytycznymi Zamawiającego</w:t>
      </w:r>
      <w:r>
        <w:t>.</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653810E8" w:rsidR="007A334F" w:rsidRPr="00EC55BC" w:rsidRDefault="007A334F" w:rsidP="007A334F">
      <w:pPr>
        <w:jc w:val="both"/>
        <w:rPr>
          <w:rFonts w:cstheme="minorHAnsi"/>
        </w:rPr>
      </w:pPr>
      <w:r w:rsidRPr="00EC55BC">
        <w:rPr>
          <w:rFonts w:cstheme="minorHAnsi"/>
        </w:rPr>
        <w:t>Na etapie wykonania wielobranżowego projektu powykonawczego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COBie </w:t>
      </w:r>
      <w:r>
        <w:rPr>
          <w:rFonts w:cstheme="minorHAnsi"/>
        </w:rPr>
        <w:t>oraz do programu do zarządzania nieruchomościami posiadanego przez Zamawiającego;</w:t>
      </w:r>
    </w:p>
    <w:p w14:paraId="59F9F0BE" w14:textId="41BD9141" w:rsidR="007A334F" w:rsidRPr="005A611D" w:rsidRDefault="007A334F" w:rsidP="00EE5679">
      <w:pPr>
        <w:numPr>
          <w:ilvl w:val="0"/>
          <w:numId w:val="4"/>
        </w:numPr>
        <w:jc w:val="both"/>
        <w:rPr>
          <w:rFonts w:cstheme="minorHAnsi"/>
        </w:rPr>
      </w:pPr>
      <w:r w:rsidRPr="00EC55BC">
        <w:rPr>
          <w:rFonts w:cstheme="minorHAnsi"/>
        </w:rPr>
        <w:t>Model BIM będzie miał określone informacje o systemach, poziomach, przestrzeniach i innych danych związanych z hierarchią formatu COBie</w:t>
      </w:r>
      <w:r w:rsidR="00614235">
        <w:rPr>
          <w:rFonts w:cstheme="minorHAnsi"/>
        </w:rPr>
        <w:t xml:space="preserve"> określoną przez Zamawiającego</w:t>
      </w:r>
      <w:r w:rsidRPr="00EC55BC">
        <w:rPr>
          <w:rFonts w:cstheme="minorHAnsi"/>
        </w:rPr>
        <w:t xml:space="preserv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94365FE" w:rsidR="007A334F" w:rsidRPr="005A611D" w:rsidRDefault="007A334F" w:rsidP="00EE5679">
      <w:pPr>
        <w:pStyle w:val="Akapitzlist"/>
        <w:numPr>
          <w:ilvl w:val="0"/>
          <w:numId w:val="4"/>
        </w:numPr>
        <w:rPr>
          <w:rFonts w:cstheme="minorHAnsi"/>
        </w:rPr>
      </w:pPr>
      <w:r w:rsidRPr="00CB1427">
        <w:rPr>
          <w:rFonts w:cstheme="minorHAnsi"/>
        </w:rPr>
        <w:t>w dostarczonych modelach BIM będzie możliwe dołączanie do ich komponentów linków do dokumentów zewnętrznych opisujących te komponenty (</w:t>
      </w:r>
      <w:r w:rsidR="00842647">
        <w:rPr>
          <w:rFonts w:cstheme="minorHAnsi"/>
        </w:rPr>
        <w:t xml:space="preserve">m.in. </w:t>
      </w:r>
      <w:r w:rsidRPr="00CB1427">
        <w:rPr>
          <w:rFonts w:cstheme="minorHAnsi"/>
        </w:rPr>
        <w:t>karty gwarancyjne, zdjęcia, instrukcje montażu</w:t>
      </w:r>
      <w:r w:rsidR="00614235">
        <w:rPr>
          <w:rFonts w:cstheme="minorHAnsi"/>
        </w:rPr>
        <w:t xml:space="preserve"> zgodnie z określoną hierarchią i nazewnictwem plików</w:t>
      </w:r>
      <w:r w:rsidRPr="00CB1427">
        <w:rPr>
          <w:rFonts w:cstheme="minorHAnsi"/>
        </w:rPr>
        <w:t>).</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lastRenderedPageBreak/>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SherePoint.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77777777" w:rsidR="007A334F" w:rsidRDefault="007A334F" w:rsidP="003F76D1">
      <w:pPr>
        <w:rPr>
          <w:rFonts w:cstheme="minorHAnsi"/>
        </w:rPr>
      </w:pPr>
      <w:r>
        <w:rPr>
          <w:rFonts w:cstheme="minorHAnsi"/>
        </w:rPr>
        <w:t>W związku z tym, że platforma FM posiadana przez Zamawiającego jest w ciągłej rozbudowie, Wykonawca uzgodni z Zamawiającym zakres danych jakie będzie należało wytransferować do posiadanej platformy FM, a jakie dane należy przekazać Zamawiającemu w formie COBie.</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5" w:name="_Toc67930480"/>
      <w:bookmarkStart w:id="36" w:name="_Toc68183613"/>
      <w:r w:rsidRPr="00EC55BC">
        <w:t>Wymaga</w:t>
      </w:r>
      <w:r w:rsidR="00CB1427" w:rsidRPr="00EC55BC">
        <w:t>nia</w:t>
      </w:r>
      <w:r w:rsidRPr="00EC55BC">
        <w:t xml:space="preserve"> techniczne</w:t>
      </w:r>
      <w:bookmarkEnd w:id="35"/>
      <w:bookmarkEnd w:id="36"/>
    </w:p>
    <w:p w14:paraId="4AADF83B" w14:textId="77777777" w:rsidR="00A42962" w:rsidRDefault="00611415" w:rsidP="00AC4099">
      <w:pPr>
        <w:pStyle w:val="Nagwek2"/>
      </w:pPr>
      <w:bookmarkStart w:id="37" w:name="_Toc67930481"/>
      <w:bookmarkStart w:id="38" w:name="_Toc68183614"/>
      <w:r w:rsidRPr="00611415">
        <w:t xml:space="preserve">Platformy </w:t>
      </w:r>
      <w:r w:rsidRPr="005A611D">
        <w:t>oprogramowania</w:t>
      </w:r>
      <w:bookmarkEnd w:id="37"/>
      <w:bookmarkEnd w:id="38"/>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43DAB2C4" w:rsidR="003A1870" w:rsidRDefault="003A1870" w:rsidP="003A1870">
      <w:pPr>
        <w:jc w:val="both"/>
        <w:rPr>
          <w:rFonts w:cstheme="minorHAnsi"/>
        </w:rPr>
      </w:pPr>
      <w:bookmarkStart w:id="39" w:name="_Toc67930482"/>
      <w:r>
        <w:rPr>
          <w:rFonts w:cstheme="minorHAnsi"/>
        </w:rPr>
        <w:t>Zamawiający informuje, że posiada oprog</w:t>
      </w:r>
      <w:r w:rsidR="008A4D8A">
        <w:rPr>
          <w:rFonts w:cstheme="minorHAnsi"/>
        </w:rPr>
        <w:t>ramowanie Revit</w:t>
      </w:r>
      <w:r w:rsidR="00981D3E">
        <w:rPr>
          <w:rFonts w:cstheme="minorHAnsi"/>
        </w:rPr>
        <w:t xml:space="preserve"> oraz na innym projekcie korzysta z bezpłatnego oprogramowania BIM do zarzadzania Dalux Viewer</w:t>
      </w:r>
      <w:r w:rsidR="008A4D8A">
        <w:rPr>
          <w:rFonts w:cstheme="minorHAnsi"/>
        </w:rPr>
        <w:t>.</w:t>
      </w:r>
    </w:p>
    <w:p w14:paraId="7425BFCA" w14:textId="77777777" w:rsidR="008A4D8A" w:rsidRDefault="008A4D8A" w:rsidP="003A1870">
      <w:pPr>
        <w:jc w:val="both"/>
        <w:rPr>
          <w:rFonts w:cstheme="minorHAnsi"/>
        </w:rPr>
      </w:pPr>
      <w:r>
        <w:rPr>
          <w:rFonts w:cstheme="minorHAnsi"/>
        </w:rPr>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40" w:name="_Toc67930483"/>
      <w:bookmarkStart w:id="41" w:name="_Toc68183615"/>
      <w:r>
        <w:t>Format wymiany danych</w:t>
      </w:r>
      <w:bookmarkEnd w:id="40"/>
      <w:bookmarkEnd w:id="41"/>
    </w:p>
    <w:p w14:paraId="73249DD3" w14:textId="77777777" w:rsidR="00E23C07" w:rsidRPr="00317F69" w:rsidRDefault="00E23C07" w:rsidP="00E23C07">
      <w:pPr>
        <w:jc w:val="both"/>
        <w:rPr>
          <w:rFonts w:cstheme="minorHAnsi"/>
        </w:rPr>
      </w:pPr>
      <w:r w:rsidRPr="00317F69">
        <w:rPr>
          <w:rFonts w:cstheme="minorHAnsi"/>
        </w:rPr>
        <w:lastRenderedPageBreak/>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COBie, wersja SpreadsheetML (format języka xml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amawiającym jakie informacje mają być zawarte w modelu oraz pliku COB</w:t>
      </w:r>
      <w:r>
        <w:rPr>
          <w:rFonts w:cstheme="minorHAnsi"/>
        </w:rPr>
        <w:t>ie</w:t>
      </w:r>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DWG 3D, LandXML</w:t>
            </w:r>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2" w:name="_Toc68183616"/>
      <w:r w:rsidRPr="00E97675">
        <w:t>Układy współrzędnych stosowane w projekcie</w:t>
      </w:r>
      <w:bookmarkEnd w:id="42"/>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3" w:name="_Toc67930485"/>
      <w:bookmarkStart w:id="44" w:name="_Toc68183617"/>
      <w:bookmarkEnd w:id="39"/>
      <w:r w:rsidRPr="00597F8C">
        <w:t>Poziomy szczegółowości zalecenia ogólne</w:t>
      </w:r>
      <w:bookmarkEnd w:id="43"/>
      <w:bookmarkEnd w:id="44"/>
      <w:r w:rsidRPr="00597F8C">
        <w:t xml:space="preserve"> </w:t>
      </w:r>
    </w:p>
    <w:p w14:paraId="3A1B64B6" w14:textId="77777777" w:rsidR="00C67201" w:rsidRPr="00EC55BC" w:rsidRDefault="00C67201" w:rsidP="00EC55BC">
      <w:pPr>
        <w:jc w:val="both"/>
        <w:rPr>
          <w:rFonts w:cstheme="minorHAnsi"/>
        </w:rPr>
      </w:pPr>
      <w:r w:rsidRPr="005A611D">
        <w:rPr>
          <w:rFonts w:cstheme="minorHAnsi"/>
        </w:rPr>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 xml:space="preserve">Minimalny, wymagany </w:t>
            </w:r>
            <w:r w:rsidRPr="00C45010">
              <w:rPr>
                <w:rFonts w:cstheme="minorHAnsi"/>
                <w:b/>
                <w:bCs/>
                <w:sz w:val="20"/>
                <w:szCs w:val="20"/>
              </w:rPr>
              <w:lastRenderedPageBreak/>
              <w:t>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lastRenderedPageBreak/>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51D69420" w:rsidR="002C19B6" w:rsidRPr="00C45010" w:rsidRDefault="002C19B6" w:rsidP="009551B5">
            <w:pPr>
              <w:jc w:val="both"/>
              <w:rPr>
                <w:rFonts w:cstheme="minorHAnsi"/>
                <w:sz w:val="20"/>
                <w:szCs w:val="20"/>
              </w:rPr>
            </w:pPr>
            <w:r>
              <w:rPr>
                <w:rFonts w:cstheme="minorHAnsi"/>
                <w:sz w:val="20"/>
                <w:szCs w:val="20"/>
              </w:rPr>
              <w:t>3</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29E5F355"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343DC973"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06376424"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040084F7"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Urządzenia MEP(A: poprzez urządzenia MEP rozumie się centrale wentylacyjne, wentylatory, klimakonwektory i klimatyzatory, urządzenia grzewcze, grzewczo-wentylacyjne, chłodnicze, roofventy,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(poprzez główne obiekty rozumie się: ściany szczelne, pale tymczasowe, kotwy, podpory, belki oczepowe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5" w:name="_Toc67930486"/>
      <w:bookmarkStart w:id="46" w:name="_Toc68183618"/>
      <w:r>
        <w:t>Szkolenia</w:t>
      </w:r>
      <w:bookmarkEnd w:id="45"/>
      <w:bookmarkEnd w:id="46"/>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7" w:name="_Toc68183619"/>
      <w:r w:rsidRPr="00475BC8">
        <w:t>Wymagania organizacyjne i dotyczące dostarczenia danych.</w:t>
      </w:r>
      <w:bookmarkEnd w:id="47"/>
    </w:p>
    <w:p w14:paraId="20718715" w14:textId="77777777" w:rsidR="00475BC8" w:rsidRDefault="00475BC8" w:rsidP="00475BC8">
      <w:pPr>
        <w:pStyle w:val="Nagwek2"/>
      </w:pPr>
      <w:bookmarkStart w:id="48" w:name="_Toc68183620"/>
      <w:r w:rsidRPr="00475BC8">
        <w:t>Harmonogram dostarczenia/wymiany danych</w:t>
      </w:r>
      <w:bookmarkEnd w:id="48"/>
    </w:p>
    <w:p w14:paraId="3E57E7B4" w14:textId="1A2169DB" w:rsidR="00475BC8" w:rsidRDefault="00475BC8" w:rsidP="00475BC8">
      <w:pPr>
        <w:rPr>
          <w:rFonts w:cstheme="minorHAnsi"/>
        </w:rPr>
      </w:pPr>
      <w:r>
        <w:rPr>
          <w:rFonts w:cstheme="minorHAnsi"/>
        </w:rPr>
        <w:lastRenderedPageBreak/>
        <w:t>W związku z posiadaniem przez Zamawiającego modelu oraz dokumentacji projektowej harmonogram dostarczania danych zosta</w:t>
      </w:r>
      <w:r w:rsidR="00A74BC3">
        <w:rPr>
          <w:rFonts w:cstheme="minorHAnsi"/>
        </w:rPr>
        <w:t>nie</w:t>
      </w:r>
      <w:r>
        <w:rPr>
          <w:rFonts w:cstheme="minorHAnsi"/>
        </w:rPr>
        <w:t xml:space="preserve"> oparty o zapisy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09FAA4EF" w14:textId="77777777" w:rsidR="00475BC8" w:rsidRDefault="0049364E" w:rsidP="0049364E">
      <w:pPr>
        <w:pStyle w:val="Nagwek2"/>
      </w:pPr>
      <w:bookmarkStart w:id="49" w:name="_Toc68183621"/>
      <w:r w:rsidRPr="0049364E">
        <w:t>Wymagania dot. zakresu dokumentacji BIM projektu BIM</w:t>
      </w:r>
      <w:bookmarkEnd w:id="49"/>
    </w:p>
    <w:p w14:paraId="6F9617B3" w14:textId="77777777" w:rsidR="00EB4B31" w:rsidRPr="00EC55BC" w:rsidRDefault="00EB4B31" w:rsidP="002D6D71">
      <w:pPr>
        <w:pStyle w:val="Nagwek3"/>
      </w:pPr>
      <w:bookmarkStart w:id="50" w:name="_Toc67930490"/>
      <w:bookmarkStart w:id="51" w:name="_Toc68183622"/>
      <w:bookmarkStart w:id="52" w:name="_Hlk67909429"/>
      <w:r w:rsidRPr="00EC55BC">
        <w:t>Zakres modeli</w:t>
      </w:r>
      <w:bookmarkEnd w:id="50"/>
      <w:bookmarkEnd w:id="51"/>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lastRenderedPageBreak/>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3" w:name="_Toc67930491"/>
      <w:bookmarkStart w:id="54" w:name="_Toc68183623"/>
      <w:r w:rsidRPr="00AE5045">
        <w:t>Dokumentacja 2D rysunki i tabele</w:t>
      </w:r>
      <w:bookmarkEnd w:id="53"/>
      <w:bookmarkEnd w:id="54"/>
      <w:r w:rsidRPr="00AE5045">
        <w:t xml:space="preserve"> </w:t>
      </w:r>
    </w:p>
    <w:bookmarkEnd w:id="52"/>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5" w:name="_Toc67930492"/>
      <w:bookmarkStart w:id="56" w:name="_Toc68183624"/>
      <w:r w:rsidRPr="00EC55BC">
        <w:t>Model 3D dane geometryczne</w:t>
      </w:r>
      <w:bookmarkEnd w:id="55"/>
      <w:bookmarkEnd w:id="56"/>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7" w:name="_Toc67930493"/>
      <w:bookmarkStart w:id="58" w:name="_Toc68183625"/>
      <w:r w:rsidRPr="005A611D">
        <w:t>Model 4D harmonogram</w:t>
      </w:r>
      <w:bookmarkEnd w:id="57"/>
      <w:bookmarkEnd w:id="58"/>
    </w:p>
    <w:p w14:paraId="40B802EC" w14:textId="77777777" w:rsidR="00AE5045" w:rsidRPr="00EC55BC" w:rsidRDefault="00AE5045" w:rsidP="00EC55BC">
      <w:pPr>
        <w:jc w:val="both"/>
        <w:rPr>
          <w:rFonts w:cstheme="minorHAnsi"/>
          <w:b/>
          <w:bCs/>
          <w:color w:val="002060"/>
          <w:highlight w:val="yellow"/>
        </w:rPr>
      </w:pPr>
      <w:r>
        <w:t>Model powinien powstać poprzez połączenie Modelu 3D z harmonogramem. Model 3D powinien umożliwić powiązanie z każdym komponentem modelu składnika czasu w celu stworzenia wariantów harmonogramu realizacji. Model powinien umożliwić obserwację zmian w czasie zachodzących w obiekcie (modelu obiektu).</w:t>
      </w:r>
    </w:p>
    <w:p w14:paraId="6E54E894" w14:textId="77777777" w:rsidR="00A13CEE" w:rsidRDefault="00A13CEE" w:rsidP="002D6D71">
      <w:pPr>
        <w:pStyle w:val="Nagwek3"/>
      </w:pPr>
      <w:bookmarkStart w:id="59" w:name="_Toc67930494"/>
      <w:bookmarkStart w:id="60" w:name="_Toc68183626"/>
      <w:r w:rsidRPr="005A611D">
        <w:t>Model 5D kosztorysy</w:t>
      </w:r>
      <w:bookmarkEnd w:id="59"/>
      <w:bookmarkEnd w:id="60"/>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1" w:name="_Toc67930496"/>
      <w:bookmarkStart w:id="62" w:name="_Toc68183627"/>
      <w:r w:rsidRPr="00EE03B8">
        <w:t>Model 6D analizy energetyczne, komfort użytkowania</w:t>
      </w:r>
      <w:bookmarkEnd w:id="61"/>
      <w:bookmarkEnd w:id="62"/>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3" w:name="_Toc67930497"/>
      <w:bookmarkStart w:id="64" w:name="_Toc68183628"/>
      <w:r w:rsidRPr="00EE03B8">
        <w:t>Model 7D dane do zarządzania obiektem</w:t>
      </w:r>
      <w:bookmarkEnd w:id="63"/>
      <w:bookmarkEnd w:id="64"/>
    </w:p>
    <w:p w14:paraId="7EFAD1B9" w14:textId="77777777"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 xml:space="preserve">data montażu, termin gwarancji, dane teleadresowe firmy montującej, dane teleadresowe producenta, dane teleadresowe serwisanta, dane materiałowe, numer katalogowy, zapotrzebowania </w:t>
      </w:r>
      <w:r w:rsidR="001D6F50" w:rsidRPr="001D6F50">
        <w:rPr>
          <w:rFonts w:cstheme="minorHAnsi"/>
          <w:bCs/>
        </w:rPr>
        <w:lastRenderedPageBreak/>
        <w:t>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5" w:name="_Toc67930499"/>
      <w:bookmarkStart w:id="66" w:name="_Toc68183629"/>
      <w:r w:rsidRPr="00EC55BC">
        <w:t>Zmiany</w:t>
      </w:r>
      <w:bookmarkEnd w:id="65"/>
      <w:bookmarkEnd w:id="66"/>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7" w:name="_Toc68183630"/>
      <w:r w:rsidRPr="00DE368D">
        <w:t>Wymagania i ocena kompetencji dot. BIM</w:t>
      </w:r>
      <w:bookmarkEnd w:id="67"/>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3B95" w14:textId="77777777" w:rsidR="002001B8" w:rsidRDefault="002001B8" w:rsidP="00E16919">
      <w:pPr>
        <w:spacing w:after="0" w:line="240" w:lineRule="auto"/>
      </w:pPr>
      <w:r>
        <w:separator/>
      </w:r>
    </w:p>
  </w:endnote>
  <w:endnote w:type="continuationSeparator" w:id="0">
    <w:p w14:paraId="7D944D86" w14:textId="77777777" w:rsidR="002001B8" w:rsidRDefault="002001B8"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08466"/>
      <w:docPartObj>
        <w:docPartGallery w:val="Page Numbers (Bottom of Page)"/>
        <w:docPartUnique/>
      </w:docPartObj>
    </w:sdtPr>
    <w:sdtEndPr/>
    <w:sdtContent>
      <w:p w14:paraId="0E69BBD0" w14:textId="5599263E" w:rsidR="00771D16" w:rsidRDefault="00771D16">
        <w:pPr>
          <w:pStyle w:val="Stopka"/>
          <w:jc w:val="center"/>
        </w:pPr>
        <w:r>
          <w:fldChar w:fldCharType="begin"/>
        </w:r>
        <w:r>
          <w:instrText>PAGE   \* MERGEFORMAT</w:instrText>
        </w:r>
        <w:r>
          <w:fldChar w:fldCharType="separate"/>
        </w:r>
        <w:r w:rsidR="00E53B22">
          <w:rPr>
            <w:noProof/>
          </w:rPr>
          <w:t>22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286D" w14:textId="77777777" w:rsidR="002001B8" w:rsidRDefault="002001B8" w:rsidP="00E16919">
      <w:pPr>
        <w:spacing w:after="0" w:line="240" w:lineRule="auto"/>
      </w:pPr>
      <w:r>
        <w:separator/>
      </w:r>
    </w:p>
  </w:footnote>
  <w:footnote w:type="continuationSeparator" w:id="0">
    <w:p w14:paraId="44CFA05A" w14:textId="77777777" w:rsidR="002001B8" w:rsidRDefault="002001B8" w:rsidP="00E1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3"/>
  </w:num>
  <w:num w:numId="7">
    <w:abstractNumId w:val="7"/>
  </w:num>
  <w:num w:numId="8">
    <w:abstractNumId w:val="10"/>
  </w:num>
  <w:num w:numId="9">
    <w:abstractNumId w:val="27"/>
  </w:num>
  <w:num w:numId="10">
    <w:abstractNumId w:val="15"/>
  </w:num>
  <w:num w:numId="11">
    <w:abstractNumId w:val="16"/>
  </w:num>
  <w:num w:numId="12">
    <w:abstractNumId w:val="14"/>
  </w:num>
  <w:num w:numId="13">
    <w:abstractNumId w:val="26"/>
  </w:num>
  <w:num w:numId="14">
    <w:abstractNumId w:val="9"/>
  </w:num>
  <w:num w:numId="15">
    <w:abstractNumId w:val="13"/>
  </w:num>
  <w:num w:numId="16">
    <w:abstractNumId w:val="8"/>
  </w:num>
  <w:num w:numId="17">
    <w:abstractNumId w:val="2"/>
  </w:num>
  <w:num w:numId="18">
    <w:abstractNumId w:val="18"/>
  </w:num>
  <w:num w:numId="19">
    <w:abstractNumId w:val="12"/>
  </w:num>
  <w:num w:numId="20">
    <w:abstractNumId w:val="6"/>
  </w:num>
  <w:num w:numId="21">
    <w:abstractNumId w:val="17"/>
  </w:num>
  <w:num w:numId="22">
    <w:abstractNumId w:val="11"/>
  </w:num>
  <w:num w:numId="23">
    <w:abstractNumId w:val="5"/>
  </w:num>
  <w:num w:numId="24">
    <w:abstractNumId w:val="21"/>
  </w:num>
  <w:num w:numId="25">
    <w:abstractNumId w:val="1"/>
  </w:num>
  <w:num w:numId="26">
    <w:abstractNumId w:val="25"/>
  </w:num>
  <w:num w:numId="27">
    <w:abstractNumId w:val="19"/>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01"/>
    <w:rsid w:val="000055ED"/>
    <w:rsid w:val="00026590"/>
    <w:rsid w:val="000362E9"/>
    <w:rsid w:val="000378D6"/>
    <w:rsid w:val="0004545C"/>
    <w:rsid w:val="00067723"/>
    <w:rsid w:val="0007247E"/>
    <w:rsid w:val="000A35AB"/>
    <w:rsid w:val="000E3C8B"/>
    <w:rsid w:val="000F28A9"/>
    <w:rsid w:val="00117764"/>
    <w:rsid w:val="00130470"/>
    <w:rsid w:val="001446F2"/>
    <w:rsid w:val="001509AB"/>
    <w:rsid w:val="001556D4"/>
    <w:rsid w:val="00175525"/>
    <w:rsid w:val="001C4F11"/>
    <w:rsid w:val="001C566C"/>
    <w:rsid w:val="001C5A22"/>
    <w:rsid w:val="001D6F50"/>
    <w:rsid w:val="001E4243"/>
    <w:rsid w:val="001F18CB"/>
    <w:rsid w:val="001F4E91"/>
    <w:rsid w:val="002001B8"/>
    <w:rsid w:val="00206076"/>
    <w:rsid w:val="00210274"/>
    <w:rsid w:val="0021481B"/>
    <w:rsid w:val="0022008F"/>
    <w:rsid w:val="00267163"/>
    <w:rsid w:val="00286DE2"/>
    <w:rsid w:val="00292025"/>
    <w:rsid w:val="002A0C52"/>
    <w:rsid w:val="002A2EB6"/>
    <w:rsid w:val="002C19B6"/>
    <w:rsid w:val="002D0FEC"/>
    <w:rsid w:val="002D6D71"/>
    <w:rsid w:val="002E22DD"/>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33DFF"/>
    <w:rsid w:val="00475BC8"/>
    <w:rsid w:val="00483FB6"/>
    <w:rsid w:val="0049364E"/>
    <w:rsid w:val="0049659D"/>
    <w:rsid w:val="004A53CB"/>
    <w:rsid w:val="004B42D1"/>
    <w:rsid w:val="004D4B95"/>
    <w:rsid w:val="00597F8C"/>
    <w:rsid w:val="005A611D"/>
    <w:rsid w:val="00611415"/>
    <w:rsid w:val="00614235"/>
    <w:rsid w:val="00630331"/>
    <w:rsid w:val="006360EB"/>
    <w:rsid w:val="00662AE3"/>
    <w:rsid w:val="00667205"/>
    <w:rsid w:val="006723C4"/>
    <w:rsid w:val="00695573"/>
    <w:rsid w:val="006D5250"/>
    <w:rsid w:val="006E0EF9"/>
    <w:rsid w:val="006E1365"/>
    <w:rsid w:val="0072226D"/>
    <w:rsid w:val="0073029F"/>
    <w:rsid w:val="007700FE"/>
    <w:rsid w:val="00771D16"/>
    <w:rsid w:val="007813D4"/>
    <w:rsid w:val="00797A0C"/>
    <w:rsid w:val="007A334F"/>
    <w:rsid w:val="007E716E"/>
    <w:rsid w:val="00816389"/>
    <w:rsid w:val="00842647"/>
    <w:rsid w:val="0084781D"/>
    <w:rsid w:val="00847CC0"/>
    <w:rsid w:val="008831A9"/>
    <w:rsid w:val="00884C0F"/>
    <w:rsid w:val="008A4420"/>
    <w:rsid w:val="008A4D8A"/>
    <w:rsid w:val="008B33FD"/>
    <w:rsid w:val="008B4330"/>
    <w:rsid w:val="008C706E"/>
    <w:rsid w:val="008E45B3"/>
    <w:rsid w:val="008F0843"/>
    <w:rsid w:val="008F765F"/>
    <w:rsid w:val="009279C3"/>
    <w:rsid w:val="00930063"/>
    <w:rsid w:val="0094207B"/>
    <w:rsid w:val="00943033"/>
    <w:rsid w:val="009529BC"/>
    <w:rsid w:val="009551B5"/>
    <w:rsid w:val="00981D3E"/>
    <w:rsid w:val="00997506"/>
    <w:rsid w:val="0099757C"/>
    <w:rsid w:val="009B2AA2"/>
    <w:rsid w:val="009B42AC"/>
    <w:rsid w:val="009C7F5E"/>
    <w:rsid w:val="009D6E57"/>
    <w:rsid w:val="009E3746"/>
    <w:rsid w:val="00A13CEE"/>
    <w:rsid w:val="00A32E56"/>
    <w:rsid w:val="00A42962"/>
    <w:rsid w:val="00A45487"/>
    <w:rsid w:val="00A503D8"/>
    <w:rsid w:val="00A7400F"/>
    <w:rsid w:val="00A74BC3"/>
    <w:rsid w:val="00A8199A"/>
    <w:rsid w:val="00A851D0"/>
    <w:rsid w:val="00A91D78"/>
    <w:rsid w:val="00A9444B"/>
    <w:rsid w:val="00AB01A5"/>
    <w:rsid w:val="00AB3AF5"/>
    <w:rsid w:val="00AC4099"/>
    <w:rsid w:val="00AC41F4"/>
    <w:rsid w:val="00AE4DF9"/>
    <w:rsid w:val="00AE5045"/>
    <w:rsid w:val="00B01D53"/>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D5485"/>
    <w:rsid w:val="00CE3B0D"/>
    <w:rsid w:val="00D03D05"/>
    <w:rsid w:val="00D13C91"/>
    <w:rsid w:val="00D23A97"/>
    <w:rsid w:val="00D5357A"/>
    <w:rsid w:val="00D613D4"/>
    <w:rsid w:val="00D86293"/>
    <w:rsid w:val="00D87487"/>
    <w:rsid w:val="00D87B21"/>
    <w:rsid w:val="00DA18AD"/>
    <w:rsid w:val="00DC1FC2"/>
    <w:rsid w:val="00DC6DA2"/>
    <w:rsid w:val="00DD1F07"/>
    <w:rsid w:val="00DD22AF"/>
    <w:rsid w:val="00DE368D"/>
    <w:rsid w:val="00DE5090"/>
    <w:rsid w:val="00E12D9E"/>
    <w:rsid w:val="00E16919"/>
    <w:rsid w:val="00E23C07"/>
    <w:rsid w:val="00E3598F"/>
    <w:rsid w:val="00E53B22"/>
    <w:rsid w:val="00E57337"/>
    <w:rsid w:val="00E97675"/>
    <w:rsid w:val="00EA269F"/>
    <w:rsid w:val="00EB4B31"/>
    <w:rsid w:val="00EC55BC"/>
    <w:rsid w:val="00EE03B8"/>
    <w:rsid w:val="00EE07EC"/>
    <w:rsid w:val="00EE5679"/>
    <w:rsid w:val="00EF5FE2"/>
    <w:rsid w:val="00F564CF"/>
    <w:rsid w:val="00FA21D0"/>
    <w:rsid w:val="00FC29B1"/>
    <w:rsid w:val="00FC54B8"/>
    <w:rsid w:val="00FC7537"/>
    <w:rsid w:val="00FD2BFA"/>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D06A-997D-4E32-97EE-12AC12B3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8087</Words>
  <Characters>48524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Użytkownik systemu Windows</cp:lastModifiedBy>
  <cp:revision>3</cp:revision>
  <dcterms:created xsi:type="dcterms:W3CDTF">2022-06-07T10:46:00Z</dcterms:created>
  <dcterms:modified xsi:type="dcterms:W3CDTF">2022-10-31T21:42:00Z</dcterms:modified>
</cp:coreProperties>
</file>