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BD" w:rsidRDefault="00DF3262">
      <w:pPr>
        <w:pStyle w:val="Standard"/>
        <w:rPr>
          <w:lang w:val="pl-PL"/>
        </w:rPr>
      </w:pPr>
      <w:bookmarkStart w:id="0" w:name="_GoBack"/>
      <w:bookmarkEnd w:id="0"/>
      <w:r>
        <w:rPr>
          <w:lang w:val="pl-PL"/>
        </w:rPr>
        <w:t>Załącznik nr 2a Pakiet II</w:t>
      </w:r>
    </w:p>
    <w:p w:rsidR="005909BD" w:rsidRDefault="005909BD">
      <w:pPr>
        <w:pStyle w:val="Standard"/>
        <w:rPr>
          <w:lang w:val="pl-PL"/>
        </w:rPr>
      </w:pPr>
    </w:p>
    <w:p w:rsidR="005909BD" w:rsidRDefault="00DF3262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ZESTAWIENIE PARAMETRÓW GRANICZNYCH DZIERŻAWIONEGO ANALIZATORA KOAGULOLOGICZNEGO</w:t>
      </w:r>
    </w:p>
    <w:p w:rsidR="005909BD" w:rsidRDefault="005909BD">
      <w:pPr>
        <w:pStyle w:val="Standard"/>
        <w:rPr>
          <w:lang w:val="pl-PL"/>
        </w:rPr>
      </w:pPr>
    </w:p>
    <w:p w:rsidR="005909BD" w:rsidRDefault="00DF3262">
      <w:pPr>
        <w:pStyle w:val="Standard"/>
        <w:rPr>
          <w:lang w:val="pl-PL"/>
        </w:rPr>
      </w:pPr>
      <w:r>
        <w:rPr>
          <w:lang w:val="pl-PL"/>
        </w:rPr>
        <w:t>Producent/ Firma..............................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Kraj....................................................</w:t>
      </w:r>
    </w:p>
    <w:p w:rsidR="005909BD" w:rsidRDefault="00DF3262">
      <w:pPr>
        <w:pStyle w:val="Standard"/>
        <w:rPr>
          <w:lang w:val="pl-PL"/>
        </w:rPr>
      </w:pPr>
      <w:r>
        <w:rPr>
          <w:lang w:val="pl-PL"/>
        </w:rPr>
        <w:t>Urządzenie /Typ..................................                                  Rok produkcji.....................................</w:t>
      </w:r>
    </w:p>
    <w:p w:rsidR="005909BD" w:rsidRDefault="005909BD">
      <w:pPr>
        <w:pStyle w:val="Standard"/>
        <w:rPr>
          <w:b/>
          <w:bCs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835"/>
        <w:gridCol w:w="1695"/>
        <w:gridCol w:w="1485"/>
      </w:tblGrid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Wymagania konieczne do spełnienia przez oferowany analizator ko</w:t>
            </w:r>
            <w:r>
              <w:rPr>
                <w:b/>
                <w:bCs/>
                <w:lang w:val="pl-PL"/>
              </w:rPr>
              <w:t>agulologiczny</w:t>
            </w:r>
          </w:p>
        </w:tc>
        <w:tc>
          <w:tcPr>
            <w:tcW w:w="3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Spełnia</w:t>
            </w:r>
          </w:p>
          <w:p w:rsidR="005909BD" w:rsidRDefault="005909BD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PARAMETRY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TAK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NIE</w:t>
            </w: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Analizator koagulologiczny – pełny automat – nowy lub nie starszy niż 2016 rok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Analizator używany musi być dostarczony po gruntownym przeglądzie wraz z dokumentacją potwierdzającą ten przegląd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Wydajność aparatu minimum 40-50 ozn/godz dla PT i nie mniej niż 40 ozn/godz dla APTT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Wbudowany komputer, obsługa poprzez kolorowy wyświetlacz dotykowy lub zewnętrzną klawiature i myszkę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Badania wykonywane na analizatorze: PT, APTT,</w:t>
            </w:r>
          </w:p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D- Dimer, </w:t>
            </w:r>
            <w:r>
              <w:rPr>
                <w:lang w:val="pl-PL"/>
              </w:rPr>
              <w:t xml:space="preserve">fibrynogen metodą ilościową,  + pomiar stężenia fibrynogenu podczas pomiaru PT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Oznaczanie parametrów układu hemostazy metodami: chromogenną, wykrzepialną, immunologiczną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Podawanie automatycznie wartości INR wyliczane przez aparat z PT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Automatyczne pobieranie próbek, odczynników, rozcieńczalników potrzebnych do wykonania pomiaru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Pojemnik na próbki przystosowany do różnego rodzaju probówek w tym pediatrycznych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Praca z próbkami pierwotnymi bez przenoszenia osocza do kubeczków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System podgrzewania (inkubacji) odczynników przed dodaniem do kuwety pomiarowej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Tromboplastyna - ISI zbliżone do 1,0(+/- 0,1), stabilność odczynnika po otwarciu na pokładzie analizatora nie mniej niż 5 dni.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Brak efektu kontaminacji – </w:t>
            </w:r>
            <w:r>
              <w:rPr>
                <w:lang w:val="pl-PL"/>
              </w:rPr>
              <w:t>oddzielne igły dozujące do osoczy i odczynników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Chłodzony blok odczynników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Możliwość oznaczenia próbek cito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Materiały kontrolne na 3 poziomach od jednego producenta, liofilizowane, z możliwością mrożenia (gwarancja producenta)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lastRenderedPageBreak/>
              <w:t>17.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Automatyczna kompensacja zanieczyszczenia toru pomiarowego i kuwety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Kuwety pomiarowe jednorazowego użytku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19.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Automatyczna kalibracja z pamięcią krzywych – stabilna dla danej serii odczynników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20.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Automatyczne układy kompensacji zmętnienia ( </w:t>
            </w:r>
            <w:r>
              <w:rPr>
                <w:lang w:val="pl-PL"/>
              </w:rPr>
              <w:t>możliwość pomiaru osoczy lipemicznych, zhemolizowanych, zółtaczkowych).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21.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</w:pPr>
            <w:r>
              <w:rPr>
                <w:lang w:val="pl-PL"/>
              </w:rPr>
              <w:t>Współpraca z siecią informatyczną – dwukierunkowa komunikacja, p</w:t>
            </w:r>
            <w:r>
              <w:rPr>
                <w:sz w:val="22"/>
                <w:szCs w:val="22"/>
                <w:lang w:val="pl-PL"/>
              </w:rPr>
              <w:t>odłączenie aparatu na koszt oferenta do istniejącego laboratoryjnego systemu informatycznego – program SOLAB firm</w:t>
            </w:r>
            <w:r>
              <w:rPr>
                <w:sz w:val="22"/>
                <w:szCs w:val="22"/>
                <w:lang w:val="pl-PL"/>
              </w:rPr>
              <w:t>y Kamsoft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22.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Program  kontroli jakości wykonywanych badań  z pamięcią wyników i  możliwością wydrukowania wykresów Levey-Jenningsa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23.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Automatyczne rozcieńczanie próbek po przekroczeniu zakresu pomiarowego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24.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Możliwość identyfikacji próbek </w:t>
            </w:r>
            <w:r>
              <w:rPr>
                <w:lang w:val="pl-PL"/>
              </w:rPr>
              <w:t>pacjentów i odczynników przy pomocy wbudowanego czytnika kodów kreskowych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25.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Możliwość podłączenia zewnętrznego czytnika kodów kreskowych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26.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Odczynniki kompatybilne z koagulometrem CC-3003 będącym własnością Zamawiającego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27.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Wykonawca dostarczy</w:t>
            </w:r>
            <w:r>
              <w:rPr>
                <w:lang w:val="pl-PL"/>
              </w:rPr>
              <w:t xml:space="preserve"> do analizatora:</w:t>
            </w:r>
          </w:p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- UPS podtrzymujący jego pracę przez  co najmniej 20 minut,</w:t>
            </w:r>
          </w:p>
          <w:p w:rsidR="005909BD" w:rsidRDefault="00DF3262">
            <w:pPr>
              <w:pStyle w:val="TableContents"/>
            </w:pPr>
            <w:r>
              <w:rPr>
                <w:lang w:val="pl-PL"/>
              </w:rPr>
              <w:t>- drukarkę laserową</w:t>
            </w:r>
            <w:r>
              <w:rPr>
                <w:sz w:val="22"/>
                <w:lang w:val="pl-PL"/>
              </w:rPr>
              <w:t>, druk na papierze A4/A5, o wydajności minimum 15-20 stron/min, obciążenie normatywne min. 20 000 stron/m-c, sieciowa</w:t>
            </w:r>
            <w:r>
              <w:rPr>
                <w:lang w:val="pl-PL"/>
              </w:rPr>
              <w:t xml:space="preserve">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28.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Oprogramowanie w języku polskim, </w:t>
            </w:r>
            <w:r>
              <w:rPr>
                <w:lang w:val="pl-PL"/>
              </w:rPr>
              <w:t>instrukcja obsługi w języku polskim.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  <w:tr w:rsidR="005909B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29.</w:t>
            </w:r>
          </w:p>
        </w:tc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DF3262">
            <w:pPr>
              <w:pStyle w:val="TableContents"/>
            </w:pPr>
            <w:r>
              <w:rPr>
                <w:lang w:val="pl-PL"/>
              </w:rPr>
              <w:t>Serwis autoryzowany – dostęp do nowych i oryginalnych części zamiennych do analizatora przez okres trwania umowy, s</w:t>
            </w:r>
            <w:r>
              <w:rPr>
                <w:rFonts w:cs="Arial"/>
                <w:bCs/>
                <w:lang w:val="pl-PL"/>
              </w:rPr>
              <w:t xml:space="preserve">erwis i okresowe przeglądy techniczne w czasie trwania dzierżawy -  bezpłatnie, czas oczekiwania </w:t>
            </w:r>
            <w:r>
              <w:rPr>
                <w:rFonts w:cs="Arial"/>
                <w:bCs/>
                <w:lang w:val="pl-PL"/>
              </w:rPr>
              <w:t>na interwencję serwisu maksimum 24 godz. w dni robocze, możliwość zgłaszania awarii 24 godz. na dobę.</w:t>
            </w:r>
          </w:p>
          <w:p w:rsidR="005909BD" w:rsidRDefault="00DF3262">
            <w:pPr>
              <w:pStyle w:val="TableContents"/>
            </w:pPr>
            <w:r>
              <w:rPr>
                <w:rFonts w:cs="Arial"/>
                <w:bCs/>
                <w:lang w:val="pl-PL"/>
              </w:rPr>
              <w:t>Wykonawca dostarczy równorzędny aparat zastępczy dla zapewnienia ciągłości wykonywanych badań w przypadku awarii trwającej dłużej niż 48 godz od zgłoszeni</w:t>
            </w:r>
            <w:r>
              <w:rPr>
                <w:rFonts w:cs="Arial"/>
                <w:bCs/>
                <w:lang w:val="pl-PL"/>
              </w:rPr>
              <w:t xml:space="preserve">a awarii, lub pokryje koszty wysłania badań do podwykonawcy na podstawie faktury.  </w:t>
            </w:r>
            <w:r>
              <w:rPr>
                <w:rFonts w:ascii="Arial" w:hAnsi="Arial" w:cs="Arial"/>
                <w:bCs/>
                <w:sz w:val="20"/>
                <w:lang w:val="pl-PL"/>
              </w:rPr>
              <w:t xml:space="preserve">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BD" w:rsidRDefault="005909BD">
            <w:pPr>
              <w:pStyle w:val="TableContents"/>
              <w:rPr>
                <w:lang w:val="pl-PL"/>
              </w:rPr>
            </w:pPr>
          </w:p>
        </w:tc>
      </w:tr>
    </w:tbl>
    <w:p w:rsidR="005909BD" w:rsidRDefault="005909BD">
      <w:pPr>
        <w:pStyle w:val="Standard"/>
        <w:rPr>
          <w:b/>
          <w:bCs/>
          <w:lang w:val="pl-PL"/>
        </w:rPr>
      </w:pPr>
    </w:p>
    <w:p w:rsidR="005909BD" w:rsidRDefault="00DF3262">
      <w:pPr>
        <w:pStyle w:val="BodySingle"/>
        <w:widowControl/>
        <w:numPr>
          <w:ilvl w:val="0"/>
          <w:numId w:val="2"/>
        </w:num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Wpisać Tak lub Nie </w:t>
      </w:r>
    </w:p>
    <w:p w:rsidR="005909BD" w:rsidRDefault="00DF3262">
      <w:pPr>
        <w:pStyle w:val="BodySingle"/>
        <w:widowControl/>
        <w:ind w:left="36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Oferty nie spełniające warunków granicznych zostaną odrzucone</w:t>
      </w:r>
    </w:p>
    <w:p w:rsidR="005909BD" w:rsidRDefault="005909BD">
      <w:pPr>
        <w:pStyle w:val="BodySingle"/>
        <w:widowControl/>
        <w:rPr>
          <w:b/>
          <w:bCs/>
          <w:sz w:val="22"/>
          <w:szCs w:val="22"/>
          <w:lang w:val="pl-PL"/>
        </w:rPr>
      </w:pPr>
    </w:p>
    <w:p w:rsidR="005909BD" w:rsidRDefault="00DF3262">
      <w:pPr>
        <w:pStyle w:val="BodySingle"/>
        <w:widowControl/>
        <w:ind w:left="4248"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</w:t>
      </w:r>
    </w:p>
    <w:p w:rsidR="005909BD" w:rsidRDefault="00DF3262">
      <w:pPr>
        <w:pStyle w:val="BodySingle"/>
        <w:widowControl/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  <w:t xml:space="preserve">             Podpis</w:t>
      </w:r>
      <w:r>
        <w:rPr>
          <w:b/>
          <w:bCs/>
          <w:sz w:val="22"/>
          <w:szCs w:val="22"/>
          <w:lang w:val="pl-PL"/>
        </w:rPr>
        <w:t xml:space="preserve"> Wykonawcy</w:t>
      </w:r>
    </w:p>
    <w:sectPr w:rsidR="005909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3262">
      <w:r>
        <w:separator/>
      </w:r>
    </w:p>
  </w:endnote>
  <w:endnote w:type="continuationSeparator" w:id="0">
    <w:p w:rsidR="00000000" w:rsidRDefault="00DF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3262">
      <w:r>
        <w:rPr>
          <w:color w:val="000000"/>
        </w:rPr>
        <w:separator/>
      </w:r>
    </w:p>
  </w:footnote>
  <w:footnote w:type="continuationSeparator" w:id="0">
    <w:p w:rsidR="00000000" w:rsidRDefault="00DF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E5B"/>
    <w:multiLevelType w:val="multilevel"/>
    <w:tmpl w:val="5E9C13B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09BD"/>
    <w:rsid w:val="005909BD"/>
    <w:rsid w:val="00D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3E48-894E-4747-8450-EEE218C4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BodySingle">
    <w:name w:val="Body Single"/>
    <w:basedOn w:val="Standard"/>
    <w:pPr>
      <w:autoSpaceDE w:val="0"/>
    </w:pPr>
  </w:style>
  <w:style w:type="character" w:customStyle="1" w:styleId="WW8Num1z0">
    <w:name w:val="WW8Num1z0"/>
    <w:rPr>
      <w:rFonts w:ascii="Symbol" w:eastAsia="Symbol" w:hAnsi="Symbol" w:cs="Aria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KZP</dc:creator>
  <cp:lastModifiedBy>KZP</cp:lastModifiedBy>
  <cp:revision>2</cp:revision>
  <cp:lastPrinted>2019-04-09T07:17:00Z</cp:lastPrinted>
  <dcterms:created xsi:type="dcterms:W3CDTF">2019-04-10T10:02:00Z</dcterms:created>
  <dcterms:modified xsi:type="dcterms:W3CDTF">2019-04-10T10:02:00Z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