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26FCFA69"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62788">
        <w:rPr>
          <w:rFonts w:cs="Tahoma"/>
          <w:bCs/>
          <w:color w:val="000000"/>
          <w:szCs w:val="20"/>
        </w:rPr>
        <w:t>podstawowym bez negocjacji</w:t>
      </w:r>
    </w:p>
    <w:p w14:paraId="27376BE6" w14:textId="4A023ED5"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562788">
        <w:rPr>
          <w:rFonts w:cs="Tahoma"/>
          <w:bCs/>
          <w:color w:val="000000"/>
          <w:szCs w:val="20"/>
        </w:rPr>
        <w:t>nie</w:t>
      </w:r>
      <w:r>
        <w:rPr>
          <w:rFonts w:cs="Tahoma"/>
          <w:bCs/>
          <w:color w:val="000000"/>
          <w:szCs w:val="20"/>
        </w:rPr>
        <w:t>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Pr="00335450" w:rsidRDefault="005E2EE3">
      <w:pPr>
        <w:shd w:val="clear" w:color="auto" w:fill="FFFFFF"/>
        <w:tabs>
          <w:tab w:val="left" w:pos="9214"/>
        </w:tabs>
        <w:spacing w:after="0" w:line="240" w:lineRule="auto"/>
        <w:ind w:right="6"/>
        <w:rPr>
          <w:rFonts w:cs="Tahoma"/>
          <w:bCs/>
          <w:strike/>
          <w:color w:val="000000"/>
          <w:u w:val="single"/>
        </w:rPr>
      </w:pPr>
    </w:p>
    <w:p w14:paraId="2DDA15D0" w14:textId="6A58511E" w:rsidR="00335450" w:rsidRPr="00335450" w:rsidRDefault="00335450" w:rsidP="00AE1DBC">
      <w:pPr>
        <w:shd w:val="clear" w:color="auto" w:fill="FFFFFF"/>
        <w:tabs>
          <w:tab w:val="left" w:pos="9214"/>
        </w:tabs>
        <w:spacing w:after="0" w:line="240" w:lineRule="auto"/>
        <w:ind w:right="6"/>
        <w:jc w:val="center"/>
        <w:rPr>
          <w:rFonts w:cs="Tahoma"/>
          <w:b/>
        </w:rPr>
      </w:pPr>
      <w:bookmarkStart w:id="0" w:name="_Hlk167799462"/>
      <w:r w:rsidRPr="00335450">
        <w:rPr>
          <w:rFonts w:cs="Tahoma"/>
          <w:b/>
        </w:rPr>
        <w:t xml:space="preserve">Lekki samochód kwatermistrzowski </w:t>
      </w:r>
      <w:proofErr w:type="spellStart"/>
      <w:r w:rsidRPr="00335450">
        <w:rPr>
          <w:rFonts w:cs="Tahoma"/>
          <w:b/>
        </w:rPr>
        <w:t>SLKw</w:t>
      </w:r>
      <w:proofErr w:type="spellEnd"/>
      <w:r w:rsidRPr="00335450">
        <w:rPr>
          <w:rFonts w:cs="Tahoma"/>
          <w:b/>
        </w:rPr>
        <w:t xml:space="preserve"> z napędem 4x4</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bookmarkEnd w:id="0"/>
    <w:p w14:paraId="6EB6B6FD" w14:textId="56BEA93E" w:rsidR="005E2EE3" w:rsidRPr="007A7BD6" w:rsidRDefault="00926862">
      <w:pPr>
        <w:shd w:val="clear" w:color="auto" w:fill="FFFFFF"/>
        <w:tabs>
          <w:tab w:val="left" w:pos="9214"/>
        </w:tabs>
        <w:spacing w:after="0" w:line="240" w:lineRule="auto"/>
        <w:ind w:right="6"/>
        <w:jc w:val="center"/>
        <w:rPr>
          <w:rFonts w:cs="Tahoma"/>
          <w:bCs/>
        </w:rPr>
      </w:pPr>
      <w:r w:rsidRPr="006A3226">
        <w:rPr>
          <w:rFonts w:cs="Tahoma"/>
          <w:iCs/>
        </w:rPr>
        <w:t>WT.2370</w:t>
      </w:r>
      <w:r w:rsidR="00DF4880" w:rsidRPr="006A3226">
        <w:rPr>
          <w:rFonts w:cs="Tahoma"/>
          <w:iCs/>
        </w:rPr>
        <w:t>.1</w:t>
      </w:r>
      <w:r w:rsidR="006A3226" w:rsidRPr="006A3226">
        <w:rPr>
          <w:rFonts w:cs="Tahoma"/>
          <w:iCs/>
        </w:rPr>
        <w:t>9</w:t>
      </w:r>
      <w:r w:rsidR="00DF4880" w:rsidRPr="006A3226">
        <w:rPr>
          <w:rFonts w:cs="Tahoma"/>
          <w:iCs/>
        </w:rPr>
        <w:t>.</w:t>
      </w:r>
      <w:r w:rsidRPr="006A3226">
        <w:rPr>
          <w:rFonts w:cs="Tahoma"/>
          <w:iCs/>
        </w:rPr>
        <w:t>202</w:t>
      </w:r>
      <w:r w:rsidR="008D4DCF" w:rsidRPr="006A3226">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77B52462" w14:textId="77777777" w:rsidR="00040A10" w:rsidRDefault="00040A10" w:rsidP="00040A10">
      <w:pPr>
        <w:spacing w:after="0" w:line="240" w:lineRule="auto"/>
        <w:rPr>
          <w:rFonts w:cs="Tahoma"/>
          <w:b/>
          <w:spacing w:val="1"/>
          <w:u w:val="single"/>
        </w:rPr>
      </w:pPr>
      <w:r>
        <w:rPr>
          <w:rFonts w:cs="Tahoma"/>
          <w:b/>
          <w:spacing w:val="1"/>
          <w:u w:val="single"/>
        </w:rPr>
        <w:t>Rozdział II. Tryb udzielenia zamówienia</w:t>
      </w:r>
    </w:p>
    <w:p w14:paraId="7B41AB26" w14:textId="77777777" w:rsidR="00040A10" w:rsidRPr="0086117F" w:rsidRDefault="00040A10" w:rsidP="001A022D">
      <w:pPr>
        <w:widowControl w:val="0"/>
        <w:numPr>
          <w:ilvl w:val="0"/>
          <w:numId w:val="47"/>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w:t>
      </w:r>
      <w:proofErr w:type="spellStart"/>
      <w:r w:rsidRPr="0086117F">
        <w:rPr>
          <w:rFonts w:cs="Tahoma"/>
          <w:color w:val="000000"/>
        </w:rPr>
        <w:t>uPzp</w:t>
      </w:r>
      <w:proofErr w:type="spellEnd"/>
      <w:r w:rsidRPr="0086117F">
        <w:rPr>
          <w:rFonts w:cs="Tahoma"/>
          <w:color w:val="000000"/>
        </w:rPr>
        <w:t>), z zachowaniem zasad określonych ustawą</w:t>
      </w:r>
      <w:r w:rsidRPr="0086117F">
        <w:rPr>
          <w:rFonts w:cs="Tahoma"/>
          <w:color w:val="000000"/>
        </w:rPr>
        <w:br/>
        <w:t>z dnia 11 września 2019 r. - Prawo zamówień publicznych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214FD235" w14:textId="77777777" w:rsidR="00040A10" w:rsidRPr="0086117F" w:rsidRDefault="00040A10" w:rsidP="001A022D">
      <w:pPr>
        <w:widowControl w:val="0"/>
        <w:numPr>
          <w:ilvl w:val="0"/>
          <w:numId w:val="47"/>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310 </w:t>
      </w:r>
      <w:proofErr w:type="spellStart"/>
      <w:r w:rsidRPr="0086117F">
        <w:rPr>
          <w:rFonts w:cs="Tahoma"/>
          <w:iCs/>
          <w:color w:val="000000"/>
          <w:szCs w:val="32"/>
        </w:rPr>
        <w:t>uPzp</w:t>
      </w:r>
      <w:proofErr w:type="spellEnd"/>
      <w:r w:rsidRPr="0086117F">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1822038E"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335450">
        <w:rPr>
          <w:rFonts w:cs="Tahoma"/>
          <w:b/>
          <w:bCs/>
          <w:iCs/>
          <w:color w:val="000000"/>
        </w:rPr>
        <w:t>1</w:t>
      </w:r>
      <w:r w:rsidR="000606BD">
        <w:rPr>
          <w:rFonts w:cs="Tahoma"/>
          <w:b/>
          <w:bCs/>
          <w:iCs/>
          <w:color w:val="000000"/>
        </w:rPr>
        <w:t xml:space="preserve"> sztuk</w:t>
      </w:r>
      <w:r w:rsidR="00335450">
        <w:rPr>
          <w:rFonts w:cs="Tahoma"/>
          <w:b/>
          <w:bCs/>
          <w:iCs/>
          <w:color w:val="000000"/>
        </w:rPr>
        <w:t>i</w:t>
      </w:r>
      <w:r w:rsidR="000606BD">
        <w:rPr>
          <w:rFonts w:cs="Tahoma"/>
          <w:b/>
          <w:bCs/>
          <w:iCs/>
          <w:color w:val="000000"/>
        </w:rPr>
        <w:t xml:space="preserve"> </w:t>
      </w:r>
      <w:r w:rsidR="00335450">
        <w:rPr>
          <w:rFonts w:cs="Tahoma"/>
          <w:b/>
          <w:bCs/>
          <w:iCs/>
          <w:color w:val="000000"/>
        </w:rPr>
        <w:t xml:space="preserve">lekkiego samochodu kwatermistrzowskiego </w:t>
      </w:r>
      <w:proofErr w:type="spellStart"/>
      <w:r w:rsidR="00335450">
        <w:rPr>
          <w:rFonts w:cs="Tahoma"/>
          <w:b/>
          <w:bCs/>
          <w:iCs/>
          <w:color w:val="000000"/>
        </w:rPr>
        <w:t>SLKw</w:t>
      </w:r>
      <w:proofErr w:type="spellEnd"/>
      <w:r w:rsidR="00335450">
        <w:rPr>
          <w:rFonts w:cs="Tahoma"/>
          <w:b/>
          <w:bCs/>
          <w:iCs/>
          <w:color w:val="000000"/>
        </w:rPr>
        <w:t xml:space="preserve"> z napędem 4x4 </w:t>
      </w:r>
      <w:r w:rsidR="000606BD" w:rsidRPr="000606BD">
        <w:rPr>
          <w:rFonts w:cs="Tahoma"/>
          <w:b/>
          <w:bCs/>
          <w:iCs/>
          <w:color w:val="000000"/>
        </w:rPr>
        <w:t>do działań z zakresu zwalczania zagrożeń dla środowiska</w:t>
      </w:r>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0ABC91B8" w14:textId="77777777" w:rsidR="00AE1DBC" w:rsidRDefault="00AE1DBC" w:rsidP="00E30F0D">
      <w:pPr>
        <w:shd w:val="clear" w:color="auto" w:fill="FFFFFF"/>
        <w:tabs>
          <w:tab w:val="left" w:pos="0"/>
          <w:tab w:val="left" w:pos="426"/>
        </w:tabs>
        <w:spacing w:after="0" w:line="240" w:lineRule="auto"/>
        <w:ind w:right="6"/>
        <w:jc w:val="both"/>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F2A8576"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 xml:space="preserve">opis przedmiotu zamówienia zawierają odpowiednio dla każdej części załączniki nr </w:t>
      </w:r>
      <w:r w:rsidR="00AE1DBC" w:rsidRPr="00335450">
        <w:t>2</w:t>
      </w:r>
      <w:r w:rsidR="006A3226">
        <w:rPr>
          <w:strike/>
        </w:rPr>
        <w:t xml:space="preserve"> </w:t>
      </w:r>
      <w:r w:rsidR="00AE1DBC" w:rsidRPr="00AE1DBC">
        <w:t>do SWZ - Specyfikacje techniczne</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w:t>
      </w:r>
      <w:r>
        <w:lastRenderedPageBreak/>
        <w:t xml:space="preserve">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1E57AA98" w14:textId="75F8F6F5" w:rsidR="00335450" w:rsidRPr="006A3226" w:rsidRDefault="00335450" w:rsidP="00335450">
      <w:pPr>
        <w:pStyle w:val="Tekstpodstawowy"/>
        <w:numPr>
          <w:ilvl w:val="0"/>
          <w:numId w:val="4"/>
        </w:numPr>
        <w:rPr>
          <w:rFonts w:ascii="Calibri" w:hAnsi="Calibri" w:cs="Tahoma"/>
          <w:bCs/>
          <w:sz w:val="22"/>
          <w:szCs w:val="22"/>
        </w:rPr>
      </w:pPr>
      <w:r w:rsidRPr="006A3226">
        <w:rPr>
          <w:rFonts w:ascii="Calibri" w:hAnsi="Calibri" w:cs="Tahoma"/>
          <w:bCs/>
          <w:sz w:val="22"/>
          <w:szCs w:val="22"/>
        </w:rPr>
        <w:t xml:space="preserve">Zamawiający nie dopuszcza możliwości składania ofert częściowych. Zgodnie z treścią art. 91 ust. 2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 xml:space="preserve"> jako powody niedokonania podziału zamówienia na części Zamawiający wskazuje następujące okoliczności:</w:t>
      </w:r>
    </w:p>
    <w:p w14:paraId="24385965" w14:textId="54BBCB8E"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Dostawa fabrycznie nowego samochodu jest możliwa do zrealizowania przez jednego Wykonawcę.</w:t>
      </w:r>
    </w:p>
    <w:p w14:paraId="20CA38CE" w14:textId="77777777"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xml:space="preserve">- Powyższa dostawa nie wymaga podziału na części i jest zgodna z przepisami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w:t>
      </w:r>
    </w:p>
    <w:p w14:paraId="3326AEC8" w14:textId="08F20AC2" w:rsidR="00335450"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Zamawiający nie dopuszcza możliwości składania ofert częściowych ze względu na jednolitość całego zamówienia jakim jest ww. dostawa. Podzielenie zamówienia na części nie miałoby wpływu na liczbę potencjalnych Wykonawców zainteresowanych złożeniem oferty w niniejszym postępowaniu.</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4EA38EF5" w14:textId="63A169FA" w:rsidR="005E2EE3" w:rsidRPr="00040A10" w:rsidRDefault="00926862" w:rsidP="00040A10">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6EE7FAC2"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do: </w:t>
      </w:r>
      <w:r w:rsidR="001875DD" w:rsidRPr="00032F17">
        <w:rPr>
          <w:rFonts w:asciiTheme="minorHAnsi" w:hAnsiTheme="minorHAnsi" w:cs="Tahoma"/>
          <w:sz w:val="22"/>
          <w:szCs w:val="22"/>
        </w:rPr>
        <w:t>09.</w:t>
      </w:r>
      <w:r w:rsidR="00093EAA" w:rsidRPr="00032F17">
        <w:rPr>
          <w:rFonts w:asciiTheme="minorHAnsi" w:hAnsiTheme="minorHAnsi" w:cs="Tahoma"/>
          <w:sz w:val="22"/>
          <w:szCs w:val="22"/>
        </w:rPr>
        <w:t>12</w:t>
      </w:r>
      <w:r w:rsidRPr="00032F17">
        <w:rPr>
          <w:rFonts w:asciiTheme="minorHAnsi" w:hAnsiTheme="minorHAnsi" w:cs="Tahoma"/>
          <w:sz w:val="22"/>
          <w:szCs w:val="22"/>
        </w:rPr>
        <w:t>.202</w:t>
      </w:r>
      <w:r w:rsidR="008D4DCF" w:rsidRPr="00032F17">
        <w:rPr>
          <w:rFonts w:asciiTheme="minorHAnsi" w:hAnsiTheme="minorHAnsi" w:cs="Tahoma"/>
          <w:sz w:val="22"/>
          <w:szCs w:val="22"/>
        </w:rPr>
        <w:t>4</w:t>
      </w:r>
      <w:r w:rsidRPr="00032F17">
        <w:rPr>
          <w:rFonts w:asciiTheme="minorHAnsi" w:hAnsiTheme="minorHAnsi" w:cs="Tahoma"/>
          <w:sz w:val="22"/>
          <w:szCs w:val="22"/>
        </w:rPr>
        <w:t xml:space="preserve"> r.</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1A022D">
      <w:pPr>
        <w:pStyle w:val="Tekstpodstawowy"/>
        <w:numPr>
          <w:ilvl w:val="0"/>
          <w:numId w:val="14"/>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1A022D">
      <w:pPr>
        <w:numPr>
          <w:ilvl w:val="0"/>
          <w:numId w:val="36"/>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lastRenderedPageBreak/>
        <w:t>handlu ludźmi, o którym mowa w art. 189a Kodeksu karnego,</w:t>
      </w:r>
    </w:p>
    <w:p w14:paraId="103FC531"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1A022D">
      <w:pPr>
        <w:numPr>
          <w:ilvl w:val="0"/>
          <w:numId w:val="2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1A022D">
      <w:pPr>
        <w:pStyle w:val="Akapitzlist"/>
        <w:numPr>
          <w:ilvl w:val="0"/>
          <w:numId w:val="39"/>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4CDE4D81" w:rsidR="00337A91" w:rsidRPr="006B085B" w:rsidRDefault="00337A91" w:rsidP="001A022D">
      <w:pPr>
        <w:pStyle w:val="Akapitzlist"/>
        <w:numPr>
          <w:ilvl w:val="0"/>
          <w:numId w:val="3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1A022D">
      <w:pPr>
        <w:numPr>
          <w:ilvl w:val="0"/>
          <w:numId w:val="2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1A022D">
      <w:pPr>
        <w:pStyle w:val="Akapitzlist"/>
        <w:numPr>
          <w:ilvl w:val="0"/>
          <w:numId w:val="18"/>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9963F5" w:rsidRDefault="00926862" w:rsidP="001A022D">
      <w:pPr>
        <w:pStyle w:val="Akapitzlist"/>
        <w:numPr>
          <w:ilvl w:val="0"/>
          <w:numId w:val="18"/>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9963F5">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1A022D">
      <w:pPr>
        <w:pStyle w:val="Tekstpodstawowy"/>
        <w:numPr>
          <w:ilvl w:val="0"/>
          <w:numId w:val="14"/>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77C9DAD7" w14:textId="12999743" w:rsidR="001A022D" w:rsidRDefault="001A022D" w:rsidP="001A022D">
      <w:pPr>
        <w:pStyle w:val="Akapitzlist"/>
        <w:numPr>
          <w:ilvl w:val="0"/>
          <w:numId w:val="4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Pr>
          <w:rFonts w:asciiTheme="minorHAnsi" w:hAnsiTheme="minorHAnsi"/>
          <w:u w:val="single"/>
          <w:lang w:eastAsia="pl-PL"/>
        </w:rPr>
        <w:t xml:space="preserve"> o niepodleganiu wykluczeniu oraz spełnianiu warunków udziału w postępowaniu w zakresie wskazanym w rozdz. VII</w:t>
      </w:r>
      <w:r w:rsidR="00EC5039">
        <w:rPr>
          <w:rFonts w:asciiTheme="minorHAnsi" w:hAnsiTheme="minorHAnsi"/>
          <w:u w:val="single"/>
          <w:lang w:eastAsia="pl-PL"/>
        </w:rPr>
        <w:t>I</w:t>
      </w:r>
      <w:r>
        <w:rPr>
          <w:rFonts w:asciiTheme="minorHAnsi" w:hAnsiTheme="minorHAnsi"/>
          <w:u w:val="single"/>
          <w:lang w:eastAsia="pl-PL"/>
        </w:rPr>
        <w:t xml:space="preserve"> SWZ (wzór – zał. nr 3 do SWZ) </w:t>
      </w:r>
      <w:r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Pr="00BB220E">
        <w:rPr>
          <w:rFonts w:asciiTheme="minorHAnsi" w:hAnsiTheme="minorHAnsi"/>
          <w:u w:val="single"/>
          <w:lang w:eastAsia="pl-PL"/>
        </w:rPr>
        <w:t xml:space="preserve">(wzór – zał. nr </w:t>
      </w:r>
      <w:r>
        <w:rPr>
          <w:rFonts w:asciiTheme="minorHAnsi" w:hAnsiTheme="minorHAnsi"/>
          <w:u w:val="single"/>
          <w:lang w:eastAsia="pl-PL"/>
        </w:rPr>
        <w:t xml:space="preserve">7 </w:t>
      </w:r>
      <w:r w:rsidRPr="00BB220E">
        <w:rPr>
          <w:rFonts w:asciiTheme="minorHAnsi" w:hAnsiTheme="minorHAnsi"/>
          <w:u w:val="single"/>
          <w:lang w:eastAsia="pl-PL"/>
        </w:rPr>
        <w:t>do SWZ).</w:t>
      </w:r>
    </w:p>
    <w:p w14:paraId="15DD70FB" w14:textId="77777777" w:rsidR="001A022D" w:rsidRPr="00CE047E" w:rsidRDefault="001A022D" w:rsidP="001A022D">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Pr>
          <w:rFonts w:asciiTheme="minorHAnsi" w:hAnsiTheme="minorHAnsi"/>
          <w:lang w:eastAsia="pl-PL"/>
        </w:rPr>
        <w:t xml:space="preserve">powyższe </w:t>
      </w:r>
      <w:r>
        <w:rPr>
          <w:rFonts w:asciiTheme="minorHAnsi" w:hAnsiTheme="minorHAnsi"/>
          <w:b/>
          <w:bCs/>
          <w:lang w:eastAsia="pl-PL"/>
        </w:rPr>
        <w:t>oświadczenia</w:t>
      </w:r>
      <w:r w:rsidRPr="008615C2">
        <w:rPr>
          <w:rFonts w:asciiTheme="minorHAnsi" w:hAnsiTheme="minorHAnsi"/>
          <w:b/>
          <w:bCs/>
          <w:lang w:eastAsia="pl-PL"/>
        </w:rPr>
        <w:t xml:space="preserve"> </w:t>
      </w:r>
      <w:r w:rsidRPr="006D0105">
        <w:rPr>
          <w:rFonts w:asciiTheme="minorHAnsi" w:hAnsiTheme="minorHAnsi"/>
          <w:lang w:eastAsia="pl-PL"/>
        </w:rPr>
        <w:t>pod rygorem nieważności</w:t>
      </w:r>
      <w:r w:rsidRPr="00CE047E">
        <w:rPr>
          <w:rFonts w:asciiTheme="minorHAnsi" w:hAnsiTheme="minorHAnsi"/>
          <w:lang w:eastAsia="pl-PL"/>
        </w:rPr>
        <w:t xml:space="preserve"> w</w:t>
      </w:r>
      <w:r>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Pr>
          <w:rFonts w:asciiTheme="minorHAnsi" w:hAnsiTheme="minorHAnsi"/>
          <w:lang w:eastAsia="pl-PL"/>
        </w:rPr>
        <w:t>j opatrzonej</w:t>
      </w:r>
      <w:r w:rsidRPr="00CE047E">
        <w:rPr>
          <w:rFonts w:asciiTheme="minorHAnsi" w:hAnsiTheme="minorHAnsi"/>
          <w:lang w:eastAsia="pl-PL"/>
        </w:rPr>
        <w:t xml:space="preserve"> podpis</w:t>
      </w:r>
      <w:r>
        <w:rPr>
          <w:rFonts w:asciiTheme="minorHAnsi" w:hAnsiTheme="minorHAnsi"/>
          <w:lang w:eastAsia="pl-PL"/>
        </w:rPr>
        <w:t>em zaufanym bądź podpisem osobistym</w:t>
      </w:r>
      <w:r w:rsidRPr="00CE047E">
        <w:rPr>
          <w:rFonts w:asciiTheme="minorHAnsi" w:hAnsiTheme="minorHAnsi"/>
          <w:lang w:eastAsia="pl-PL"/>
        </w:rPr>
        <w:t xml:space="preserve"> osob</w:t>
      </w:r>
      <w:r>
        <w:rPr>
          <w:rFonts w:asciiTheme="minorHAnsi" w:hAnsiTheme="minorHAnsi"/>
          <w:lang w:eastAsia="pl-PL"/>
        </w:rPr>
        <w:t>y</w:t>
      </w:r>
      <w:r w:rsidRPr="00CE047E">
        <w:rPr>
          <w:rFonts w:asciiTheme="minorHAnsi" w:hAnsiTheme="minorHAnsi"/>
          <w:lang w:eastAsia="pl-PL"/>
        </w:rPr>
        <w:t xml:space="preserve"> upoważnion</w:t>
      </w:r>
      <w:r>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6B43FEDC" w14:textId="77777777" w:rsidR="001A022D" w:rsidRPr="00774422" w:rsidRDefault="001A022D" w:rsidP="001A022D">
      <w:pPr>
        <w:pStyle w:val="Akapitzlist"/>
        <w:spacing w:after="0" w:line="240" w:lineRule="auto"/>
        <w:ind w:left="357"/>
        <w:jc w:val="both"/>
        <w:rPr>
          <w:rFonts w:asciiTheme="minorHAnsi" w:hAnsiTheme="minorHAnsi"/>
          <w:strike/>
          <w:color w:val="FF0000"/>
          <w:sz w:val="12"/>
          <w:szCs w:val="12"/>
          <w:lang w:eastAsia="pl-PL"/>
        </w:rPr>
      </w:pPr>
    </w:p>
    <w:p w14:paraId="2A95282C" w14:textId="77777777" w:rsidR="001A022D" w:rsidRDefault="001A022D" w:rsidP="001A022D">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3732E957" w14:textId="77777777" w:rsidR="001A022D" w:rsidRPr="00774422" w:rsidRDefault="001A022D" w:rsidP="001A022D">
      <w:pPr>
        <w:pStyle w:val="Akapitzlist"/>
        <w:spacing w:after="0" w:line="240" w:lineRule="auto"/>
        <w:ind w:left="357"/>
        <w:jc w:val="both"/>
        <w:rPr>
          <w:rFonts w:asciiTheme="minorHAnsi" w:hAnsiTheme="minorHAnsi"/>
          <w:i/>
          <w:iCs/>
          <w:sz w:val="20"/>
          <w:szCs w:val="20"/>
          <w:lang w:eastAsia="pl-PL"/>
        </w:rPr>
      </w:pPr>
    </w:p>
    <w:p w14:paraId="372E81C7" w14:textId="77777777" w:rsidR="001A022D"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0E357A99" w14:textId="77777777" w:rsidR="001A022D" w:rsidRPr="00A32B0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Pr="003360C7">
        <w:rPr>
          <w:rFonts w:asciiTheme="minorHAnsi" w:hAnsiTheme="minorHAnsi" w:cs="Tahoma"/>
          <w:sz w:val="22"/>
          <w:szCs w:val="22"/>
        </w:rPr>
        <w:t>przypadku wspólnego ubiegania się o zamówienie przez wykonawców, oświadczeni</w:t>
      </w:r>
      <w:r>
        <w:rPr>
          <w:rFonts w:asciiTheme="minorHAnsi" w:hAnsiTheme="minorHAnsi" w:cs="Tahoma"/>
          <w:sz w:val="22"/>
          <w:szCs w:val="22"/>
        </w:rPr>
        <w:t xml:space="preserve">a, o których mowa w ust. 1, </w:t>
      </w:r>
      <w:r w:rsidRPr="003360C7">
        <w:rPr>
          <w:rFonts w:asciiTheme="minorHAnsi" w:hAnsiTheme="minorHAnsi" w:cs="Tahoma"/>
          <w:sz w:val="22"/>
          <w:szCs w:val="22"/>
        </w:rPr>
        <w:t xml:space="preserve">składa każdy z </w:t>
      </w:r>
      <w:r>
        <w:rPr>
          <w:rFonts w:asciiTheme="minorHAnsi" w:hAnsiTheme="minorHAnsi" w:cs="Tahoma"/>
          <w:sz w:val="22"/>
          <w:szCs w:val="22"/>
        </w:rPr>
        <w:t>w</w:t>
      </w:r>
      <w:r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Pr>
          <w:rFonts w:asciiTheme="minorHAnsi" w:hAnsiTheme="minorHAnsi" w:cs="Tahoma"/>
          <w:sz w:val="22"/>
          <w:szCs w:val="22"/>
        </w:rPr>
        <w:t>w</w:t>
      </w:r>
      <w:r w:rsidRPr="003360C7">
        <w:rPr>
          <w:rFonts w:asciiTheme="minorHAnsi" w:hAnsiTheme="minorHAnsi" w:cs="Tahoma"/>
          <w:sz w:val="22"/>
          <w:szCs w:val="22"/>
        </w:rPr>
        <w:t>ykonawców wykazuje spełnianie warunków udziału w postępowaniu</w:t>
      </w:r>
      <w:r>
        <w:rPr>
          <w:rFonts w:asciiTheme="minorHAnsi" w:hAnsiTheme="minorHAnsi" w:cs="Tahoma"/>
          <w:sz w:val="22"/>
          <w:szCs w:val="22"/>
        </w:rPr>
        <w:t>.</w:t>
      </w:r>
    </w:p>
    <w:p w14:paraId="34AD081D" w14:textId="77777777" w:rsidR="001A022D" w:rsidRPr="00B150A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Każde oświadczenie należy złożyć w postaci osobnego pliku.</w:t>
      </w:r>
    </w:p>
    <w:p w14:paraId="6D1D13C7" w14:textId="77777777" w:rsidR="001A022D" w:rsidRPr="008615C2" w:rsidRDefault="001A022D" w:rsidP="001A022D">
      <w:pPr>
        <w:pStyle w:val="Akapitzlist"/>
        <w:numPr>
          <w:ilvl w:val="0"/>
          <w:numId w:val="48"/>
        </w:numPr>
        <w:spacing w:after="0" w:line="240" w:lineRule="auto"/>
        <w:ind w:left="357"/>
        <w:jc w:val="both"/>
        <w:rPr>
          <w:rFonts w:asciiTheme="minorHAnsi" w:hAnsiTheme="minorHAnsi" w:cs="Tahoma"/>
        </w:rPr>
      </w:pPr>
      <w:r w:rsidRPr="008615C2">
        <w:rPr>
          <w:rFonts w:cs="Tahoma"/>
        </w:rPr>
        <w:t xml:space="preserve">Gdy umocowanie osoby składającej ofertę nie wynika z dokumentów rejestrowych, Wykonawca składający ofertę za pośrednictwem pełnomocnika, musi </w:t>
      </w:r>
      <w:r w:rsidRPr="008615C2">
        <w:rPr>
          <w:rFonts w:cs="Tahoma"/>
          <w:b/>
          <w:bCs/>
        </w:rPr>
        <w:t>dołączyć do oferty dokument pełnomocnictwa</w:t>
      </w:r>
      <w:r w:rsidRPr="008615C2">
        <w:rPr>
          <w:rFonts w:cs="Tahoma"/>
        </w:rPr>
        <w:t xml:space="preserve"> obejmujący swym zakresem umocowanie do złożenia oferty lub do złożenia oferty i podpisania umowy.</w:t>
      </w:r>
    </w:p>
    <w:p w14:paraId="0F8CB1EE" w14:textId="77777777" w:rsidR="001A022D" w:rsidRPr="008615C2" w:rsidRDefault="001A022D" w:rsidP="001A022D">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p>
    <w:p w14:paraId="2392BC06" w14:textId="77777777" w:rsidR="001A022D" w:rsidRDefault="001A022D" w:rsidP="001A022D">
      <w:pPr>
        <w:pStyle w:val="Akapitzlist"/>
        <w:numPr>
          <w:ilvl w:val="0"/>
          <w:numId w:val="50"/>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Pr="000F4037">
        <w:rPr>
          <w:rFonts w:asciiTheme="minorHAnsi" w:hAnsiTheme="minorHAnsi" w:cs="Tahoma"/>
        </w:rPr>
        <w:t xml:space="preserve"> w postaci elektronicznej </w:t>
      </w:r>
      <w:r>
        <w:rPr>
          <w:rFonts w:asciiTheme="minorHAnsi" w:hAnsiTheme="minorHAnsi" w:cs="Tahoma"/>
        </w:rPr>
        <w:t xml:space="preserve">opatrzonej </w:t>
      </w:r>
      <w:r w:rsidRPr="000F4037">
        <w:rPr>
          <w:rFonts w:asciiTheme="minorHAnsi" w:hAnsiTheme="minorHAnsi" w:cs="Tahoma"/>
        </w:rPr>
        <w:t xml:space="preserve">podpisem </w:t>
      </w:r>
      <w:r>
        <w:rPr>
          <w:rFonts w:asciiTheme="minorHAnsi" w:hAnsiTheme="minorHAnsi" w:cs="Tahoma"/>
        </w:rPr>
        <w:t>zaufanym lub podpisem osobistym</w:t>
      </w:r>
      <w:r w:rsidRPr="000F4037">
        <w:rPr>
          <w:rFonts w:asciiTheme="minorHAnsi" w:hAnsiTheme="minorHAnsi" w:cs="Tahoma"/>
        </w:rPr>
        <w:t xml:space="preserve"> osob</w:t>
      </w:r>
      <w:r>
        <w:rPr>
          <w:rFonts w:asciiTheme="minorHAnsi" w:hAnsiTheme="minorHAnsi" w:cs="Tahoma"/>
        </w:rPr>
        <w:t>y</w:t>
      </w:r>
      <w:r w:rsidRPr="000F4037">
        <w:rPr>
          <w:rFonts w:asciiTheme="minorHAnsi" w:hAnsiTheme="minorHAnsi" w:cs="Tahoma"/>
        </w:rPr>
        <w:t xml:space="preserve"> upoważnion</w:t>
      </w:r>
      <w:r>
        <w:rPr>
          <w:rFonts w:asciiTheme="minorHAnsi" w:hAnsiTheme="minorHAnsi" w:cs="Tahoma"/>
        </w:rPr>
        <w:t>ej</w:t>
      </w:r>
      <w:r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F43ED5F" w14:textId="77777777" w:rsidR="001A022D" w:rsidRPr="008615C2" w:rsidRDefault="001A022D" w:rsidP="001A022D">
      <w:pPr>
        <w:pStyle w:val="Akapitzlist"/>
        <w:numPr>
          <w:ilvl w:val="0"/>
          <w:numId w:val="5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1A022D">
      <w:pPr>
        <w:pStyle w:val="Akapitzlist"/>
        <w:numPr>
          <w:ilvl w:val="0"/>
          <w:numId w:val="48"/>
        </w:numPr>
        <w:spacing w:after="0" w:line="240" w:lineRule="auto"/>
        <w:ind w:left="357"/>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1A022D">
      <w:pPr>
        <w:pStyle w:val="Akapitzlist"/>
        <w:numPr>
          <w:ilvl w:val="0"/>
          <w:numId w:val="12"/>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1A022D">
      <w:pPr>
        <w:pStyle w:val="Akapitzlist"/>
        <w:numPr>
          <w:ilvl w:val="0"/>
          <w:numId w:val="12"/>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24B7C215"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oświadczenia Wykonawcy o aktualności informacji </w:t>
      </w:r>
      <w:r w:rsidR="001A022D" w:rsidRPr="001A022D">
        <w:rPr>
          <w:rFonts w:eastAsia="Times New Roman" w:cs="Tahoma"/>
          <w:lang w:eastAsia="pl-PL"/>
        </w:rPr>
        <w:t xml:space="preserve">zawartych w Oświadczeniu wstępnym z art. 125 ust. 1 </w:t>
      </w:r>
      <w:proofErr w:type="spellStart"/>
      <w:r w:rsidR="001A022D" w:rsidRPr="001A022D">
        <w:rPr>
          <w:rFonts w:eastAsia="Times New Roman" w:cs="Tahoma"/>
          <w:lang w:eastAsia="pl-PL"/>
        </w:rPr>
        <w:t>uPzp</w:t>
      </w:r>
      <w:proofErr w:type="spellEnd"/>
      <w:r w:rsidR="001A022D" w:rsidRPr="001A022D">
        <w:rPr>
          <w:rFonts w:eastAsia="Times New Roman" w:cs="Tahoma"/>
          <w:lang w:eastAsia="pl-PL"/>
        </w:rPr>
        <w:t xml:space="preserve"> (wzór - zał. nr 6 do SWZ) w zakresie podstaw wykluczenia z postępowania wskazanych przez Zamawiającego</w:t>
      </w:r>
      <w:r>
        <w:rPr>
          <w:rFonts w:eastAsia="Times New Roman" w:cs="Tahoma"/>
          <w:lang w:eastAsia="pl-PL"/>
        </w:rPr>
        <w:t>, o których mowa w:</w:t>
      </w:r>
    </w:p>
    <w:p w14:paraId="46410D5E"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1525B784"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r w:rsidR="001A022D">
        <w:rPr>
          <w:rFonts w:eastAsia="Times New Roman" w:cs="Tahoma"/>
          <w:lang w:eastAsia="pl-PL"/>
        </w:rPr>
        <w:t>.</w:t>
      </w:r>
    </w:p>
    <w:p w14:paraId="3CF92331" w14:textId="77777777" w:rsidR="005E2EE3" w:rsidRDefault="005E2EE3" w:rsidP="00032F17">
      <w:pPr>
        <w:pStyle w:val="Tekstpodstawowy2"/>
        <w:tabs>
          <w:tab w:val="left" w:pos="0"/>
        </w:tabs>
        <w:spacing w:after="0" w:line="240" w:lineRule="auto"/>
        <w:jc w:val="both"/>
        <w:rPr>
          <w:rFonts w:asciiTheme="minorHAnsi" w:hAnsiTheme="minorHAnsi" w:cs="Tahoma"/>
          <w:sz w:val="16"/>
          <w:szCs w:val="22"/>
        </w:rPr>
      </w:pPr>
    </w:p>
    <w:p w14:paraId="3CC7DC47" w14:textId="77777777" w:rsidR="005E2EE3" w:rsidRDefault="00926862" w:rsidP="001A022D">
      <w:pPr>
        <w:pStyle w:val="Akapitzlist"/>
        <w:numPr>
          <w:ilvl w:val="0"/>
          <w:numId w:val="48"/>
        </w:numPr>
        <w:spacing w:after="0" w:line="240" w:lineRule="auto"/>
        <w:ind w:left="357"/>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1A022D">
      <w:pPr>
        <w:pStyle w:val="Akapitzlist"/>
        <w:numPr>
          <w:ilvl w:val="0"/>
          <w:numId w:val="13"/>
        </w:numPr>
        <w:spacing w:after="0" w:line="240" w:lineRule="auto"/>
        <w:jc w:val="both"/>
        <w:rPr>
          <w:rFonts w:asciiTheme="minorHAnsi" w:hAnsiTheme="minorHAnsi"/>
        </w:rPr>
      </w:pPr>
      <w:bookmarkStart w:id="6" w:name="_Hlk72741627"/>
      <w:r>
        <w:rPr>
          <w:rFonts w:asciiTheme="minorHAnsi" w:hAnsiTheme="minorHAnsi"/>
        </w:rPr>
        <w:t xml:space="preserve">w ust. 3 pkt 1) </w:t>
      </w:r>
      <w:bookmarkEnd w:id="6"/>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1A022D">
      <w:pPr>
        <w:pStyle w:val="Akapitzlist"/>
        <w:numPr>
          <w:ilvl w:val="0"/>
          <w:numId w:val="13"/>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1A022D">
      <w:pPr>
        <w:pStyle w:val="Akapitzlist"/>
        <w:numPr>
          <w:ilvl w:val="0"/>
          <w:numId w:val="21"/>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1A022D">
      <w:pPr>
        <w:pStyle w:val="Akapitzlist"/>
        <w:numPr>
          <w:ilvl w:val="0"/>
          <w:numId w:val="21"/>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77777777" w:rsidR="005E2EE3" w:rsidRDefault="00926862" w:rsidP="001A022D">
      <w:pPr>
        <w:pStyle w:val="Akapitzlist"/>
        <w:numPr>
          <w:ilvl w:val="0"/>
          <w:numId w:val="13"/>
        </w:numPr>
        <w:spacing w:after="0" w:line="240" w:lineRule="auto"/>
        <w:jc w:val="both"/>
        <w:rPr>
          <w:rFonts w:asciiTheme="minorHAnsi" w:hAnsiTheme="minorHAnsi"/>
        </w:rPr>
      </w:pPr>
      <w:r>
        <w:rPr>
          <w:rFonts w:asciiTheme="minorHAnsi" w:hAnsiTheme="minorHAnsi"/>
        </w:rPr>
        <w:t xml:space="preserve">jeżeli w kraju, w którym Wykonawca ma siedzibę lub miejsce zamieszkania nie wydaje się dokumentów, o których mowa w pkt. 2) lub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4EF08E66" w14:textId="77777777" w:rsidR="001A022D" w:rsidRDefault="00926862" w:rsidP="001A022D">
      <w:pPr>
        <w:pStyle w:val="Akapitzlist"/>
        <w:numPr>
          <w:ilvl w:val="0"/>
          <w:numId w:val="48"/>
        </w:numPr>
        <w:spacing w:after="0" w:line="240" w:lineRule="auto"/>
        <w:ind w:left="357"/>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9D69FA" w14:textId="77777777" w:rsid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2ACE341" w14:textId="77777777" w:rsid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W przypadku Wykonawców wspólnie ubiegających się o udzielenie zamówienia podmiotowe środki dowodowe wymienione w ust. 3 pkt. 1)-6), tj. na potwierdzenie braku podstaw do wykluczenia, składa każdy z Wykonawców występujących wspólnie.</w:t>
      </w:r>
    </w:p>
    <w:p w14:paraId="5A4AD4D5" w14:textId="4AEE4B21" w:rsidR="005E2EE3" w:rsidRP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1A022D">
        <w:rPr>
          <w:rFonts w:asciiTheme="minorHAnsi" w:hAnsiTheme="minorHAnsi"/>
        </w:rPr>
        <w:t>uPzp</w:t>
      </w:r>
      <w:proofErr w:type="spellEnd"/>
      <w:r w:rsidRPr="001A022D">
        <w:rPr>
          <w:rFonts w:asciiTheme="minorHAnsi" w:hAnsiTheme="minorHAnsi"/>
        </w:rPr>
        <w:t xml:space="preserve">, z zastrzeżeniem art. 65 ust. 1 pkt 4 </w:t>
      </w:r>
      <w:proofErr w:type="spellStart"/>
      <w:r w:rsidRPr="001A022D">
        <w:rPr>
          <w:rFonts w:asciiTheme="minorHAnsi" w:hAnsiTheme="minorHAnsi"/>
        </w:rPr>
        <w:t>uPzp</w:t>
      </w:r>
      <w:proofErr w:type="spellEnd"/>
      <w:r w:rsidRPr="001A022D">
        <w:rPr>
          <w:rFonts w:asciiTheme="minorHAnsi" w:hAnsiTheme="minorHAnsi"/>
        </w:rPr>
        <w:t>. Podmiotowe środki dowodowe sporządzone w języku obcym muszą być złożone wraz z tłumaczeniem na język polski.</w:t>
      </w:r>
    </w:p>
    <w:p w14:paraId="17382609" w14:textId="77777777" w:rsidR="001A022D" w:rsidRDefault="001A022D">
      <w:pPr>
        <w:pStyle w:val="Tekstpodstawowy"/>
        <w:jc w:val="both"/>
        <w:rPr>
          <w:rFonts w:ascii="Calibri" w:hAnsi="Calibri" w:cs="Tahoma"/>
          <w:b/>
          <w:bCs/>
          <w:sz w:val="22"/>
          <w:szCs w:val="22"/>
          <w:u w:val="single"/>
        </w:rPr>
      </w:pPr>
    </w:p>
    <w:p w14:paraId="6E17C3CF" w14:textId="497E8EC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6B203082" w14:textId="77777777" w:rsidR="002176EE" w:rsidRPr="006C675D" w:rsidRDefault="002176EE" w:rsidP="002176EE">
      <w:pPr>
        <w:pStyle w:val="Akapitzlist"/>
        <w:numPr>
          <w:ilvl w:val="0"/>
          <w:numId w:val="27"/>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4CF1D46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746F3455" w14:textId="327B7A2F"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69379FC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15FA96A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49723EF6"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3EE64958"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239896FA"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2FE4BEC7"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7967B"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07D4E3C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0D31E1FE"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4DB78B5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15686531"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60FEB635"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26A0EBF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06884A7B"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359E009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098870C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525B3B50"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0FF4EAC"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2D79D176"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35655F74"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0D0BB8D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15BEBF7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51C3E3EA"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630B5DE0"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7" w:name="_Hlk126141011"/>
      <w:bookmarkStart w:id="8"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7"/>
      <w:r w:rsidRPr="006C675D">
        <w:rPr>
          <w:rFonts w:asciiTheme="minorHAnsi" w:hAnsiTheme="minorHAnsi"/>
          <w:color w:val="000000" w:themeColor="text1"/>
        </w:rPr>
        <w:t xml:space="preserve"> </w:t>
      </w:r>
      <w:bookmarkEnd w:id="8"/>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461D3A5C"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6A54A90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4CE6121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9" w:name="_wp2umuqo1p7z" w:colFirst="0" w:colLast="0"/>
      <w:bookmarkEnd w:id="9"/>
    </w:p>
    <w:p w14:paraId="3150E94D"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30CDD"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5DE11E4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20525E49"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12F7D29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8579E70"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6465FA83"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37486CE6"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Pr="006C675D">
        <w:rPr>
          <w:rFonts w:asciiTheme="minorHAnsi" w:hAnsiTheme="minorHAnsi"/>
          <w:color w:val="000000" w:themeColor="text1"/>
        </w:rPr>
        <w:t>,  podpisem zaufanym lub podpisem osobistym.</w:t>
      </w:r>
    </w:p>
    <w:p w14:paraId="7086905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755B485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F243F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6E26FE6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8FB7A4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128FF2F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6854B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388663F8"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16B5EE1F"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5C7CEA9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Pr="006C675D">
        <w:rPr>
          <w:color w:val="000000" w:themeColor="text1"/>
        </w:rPr>
        <w:t xml:space="preserve"> </w:t>
      </w:r>
      <w:r w:rsidRPr="006C675D">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8D3DB10"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1)-6) 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1A022D">
      <w:pPr>
        <w:pStyle w:val="Poziom2"/>
        <w:numPr>
          <w:ilvl w:val="1"/>
          <w:numId w:val="23"/>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1A022D">
      <w:pPr>
        <w:pStyle w:val="Poziom2"/>
        <w:numPr>
          <w:ilvl w:val="1"/>
          <w:numId w:val="23"/>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1A92F82E" w:rsidR="005E2EE3" w:rsidRDefault="000C3FDB" w:rsidP="00212CC6">
      <w:pPr>
        <w:pStyle w:val="Poziom2"/>
        <w:spacing w:before="0"/>
        <w:ind w:left="360"/>
        <w:rPr>
          <w:rFonts w:asciiTheme="minorHAnsi" w:hAnsiTheme="minorHAnsi" w:cs="Tahoma"/>
          <w:szCs w:val="22"/>
        </w:rPr>
      </w:pPr>
      <w:r w:rsidRPr="000C3FDB">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1A022D">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0F97F789" w14:textId="77777777" w:rsidR="000C3FDB" w:rsidRPr="000B421E" w:rsidRDefault="000C3FDB" w:rsidP="000C3FDB">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168B08C6" w14:textId="77777777" w:rsid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6C675D">
        <w:rPr>
          <w:rFonts w:asciiTheme="minorHAnsi" w:hAnsiTheme="minorHAnsi" w:cs="Tahoma"/>
        </w:rPr>
        <w:t>pełnomocnictwo powinno zostać złożone w formie elektronicznej lub w postaci elektronicznej opatrzonej podpisem zaufanym lub podpisem osobistym</w:t>
      </w:r>
      <w:r w:rsidRPr="006C675D">
        <w:t xml:space="preserve"> </w:t>
      </w:r>
      <w:r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1A6F2EDA" w14:textId="77777777" w:rsidR="000C3FDB" w:rsidRP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0C3FDB">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r>
        <w:rPr>
          <w:rFonts w:asciiTheme="minorHAnsi" w:hAnsiTheme="minorHAnsi" w:cs="Tahoma"/>
        </w:rPr>
        <w:t>.</w:t>
      </w:r>
    </w:p>
    <w:p w14:paraId="3C8B12BA" w14:textId="77777777" w:rsidR="000C3FDB" w:rsidRPr="000C3FDB" w:rsidRDefault="000C3FDB" w:rsidP="000C3FDB">
      <w:pPr>
        <w:pStyle w:val="Akapitzlist"/>
        <w:spacing w:after="0" w:line="240" w:lineRule="auto"/>
        <w:jc w:val="both"/>
        <w:rPr>
          <w:rFonts w:asciiTheme="minorHAnsi" w:eastAsia="Times New Roman" w:hAnsiTheme="minorHAnsi" w:cs="Tahoma"/>
          <w:lang w:eastAsia="pl-PL"/>
        </w:rPr>
      </w:pPr>
    </w:p>
    <w:p w14:paraId="08213117" w14:textId="16A03071" w:rsidR="005E2EE3" w:rsidRPr="000C3FDB" w:rsidRDefault="00926862" w:rsidP="000C3FDB">
      <w:pPr>
        <w:pStyle w:val="Poziom2"/>
        <w:numPr>
          <w:ilvl w:val="0"/>
          <w:numId w:val="23"/>
        </w:numPr>
        <w:spacing w:before="0"/>
        <w:rPr>
          <w:rFonts w:asciiTheme="minorHAnsi" w:hAnsiTheme="minorHAnsi" w:cs="Tahoma"/>
          <w:szCs w:val="22"/>
        </w:rPr>
      </w:pPr>
      <w:r w:rsidRPr="000C3FDB">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04B376DC" w:rsidR="005E2EE3" w:rsidRDefault="00926862" w:rsidP="00212CC6">
      <w:pPr>
        <w:pStyle w:val="Poziom2"/>
        <w:tabs>
          <w:tab w:val="left" w:pos="0"/>
        </w:tabs>
        <w:spacing w:before="0"/>
      </w:pPr>
      <w:r w:rsidRPr="00EC5039">
        <w:rPr>
          <w:rFonts w:ascii="Calibri" w:hAnsi="Calibri" w:cs="Tahoma"/>
          <w:szCs w:val="22"/>
        </w:rPr>
        <w:t xml:space="preserve">Wykonawca jest związany ofertą przez </w:t>
      </w:r>
      <w:r w:rsidR="000C3FDB" w:rsidRPr="00EC5039">
        <w:rPr>
          <w:rFonts w:ascii="Calibri" w:hAnsi="Calibri" w:cs="Tahoma"/>
          <w:szCs w:val="22"/>
        </w:rPr>
        <w:t>3</w:t>
      </w:r>
      <w:r w:rsidRPr="00EC5039">
        <w:rPr>
          <w:rFonts w:ascii="Calibri" w:hAnsi="Calibri" w:cs="Tahoma"/>
          <w:szCs w:val="22"/>
        </w:rPr>
        <w:t xml:space="preserve">0 dni, tj. </w:t>
      </w:r>
      <w:r w:rsidRPr="00682E39">
        <w:rPr>
          <w:rFonts w:ascii="Calibri" w:hAnsi="Calibri" w:cs="Tahoma"/>
          <w:b/>
          <w:bCs/>
          <w:szCs w:val="22"/>
        </w:rPr>
        <w:t xml:space="preserve">do dnia </w:t>
      </w:r>
      <w:r w:rsidR="006F2451" w:rsidRPr="00682E39">
        <w:rPr>
          <w:rFonts w:ascii="Calibri" w:hAnsi="Calibri" w:cs="Tahoma"/>
          <w:b/>
          <w:bCs/>
          <w:szCs w:val="22"/>
        </w:rPr>
        <w:t>1</w:t>
      </w:r>
      <w:r w:rsidR="006A3226" w:rsidRPr="00682E39">
        <w:rPr>
          <w:rFonts w:ascii="Calibri" w:hAnsi="Calibri" w:cs="Tahoma"/>
          <w:b/>
          <w:bCs/>
          <w:szCs w:val="22"/>
        </w:rPr>
        <w:t>5 października</w:t>
      </w:r>
      <w:r w:rsidRPr="00682E39">
        <w:rPr>
          <w:rFonts w:ascii="Calibri" w:hAnsi="Calibri" w:cs="Tahoma"/>
          <w:b/>
          <w:bCs/>
          <w:szCs w:val="22"/>
        </w:rPr>
        <w:t xml:space="preserve"> 202</w:t>
      </w:r>
      <w:r w:rsidR="007043CA" w:rsidRPr="00682E39">
        <w:rPr>
          <w:rFonts w:ascii="Calibri" w:hAnsi="Calibri" w:cs="Tahoma"/>
          <w:b/>
          <w:bCs/>
          <w:szCs w:val="22"/>
        </w:rPr>
        <w:t>4</w:t>
      </w:r>
      <w:r w:rsidRPr="00682E39">
        <w:rPr>
          <w:rFonts w:ascii="Calibri" w:hAnsi="Calibri" w:cs="Tahoma"/>
          <w:b/>
          <w:bCs/>
          <w:szCs w:val="22"/>
        </w:rPr>
        <w:t>r</w:t>
      </w:r>
      <w:r w:rsidRPr="00EC5039">
        <w:rPr>
          <w:rFonts w:ascii="Calibri" w:hAnsi="Calibri" w:cs="Tahoma"/>
          <w:b/>
          <w:bCs/>
          <w:szCs w:val="22"/>
        </w:rPr>
        <w:t>.</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791AA372" w14:textId="5D4ECB06" w:rsidR="005C7AA6" w:rsidRPr="006A3226" w:rsidRDefault="00343DFA" w:rsidP="006A3226">
      <w:pPr>
        <w:pStyle w:val="Tekstpodstawowy"/>
        <w:numPr>
          <w:ilvl w:val="0"/>
          <w:numId w:val="5"/>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r w:rsidR="006A3226">
        <w:rPr>
          <w:rFonts w:asciiTheme="minorHAnsi" w:hAnsiTheme="minorHAnsi" w:cstheme="minorHAnsi"/>
          <w:spacing w:val="-14"/>
          <w:sz w:val="22"/>
          <w:szCs w:val="22"/>
          <w:lang w:eastAsia="en-US"/>
        </w:rPr>
        <w:t xml:space="preserve"> </w:t>
      </w:r>
      <w:r w:rsidR="005C7AA6" w:rsidRPr="006A3226">
        <w:rPr>
          <w:rFonts w:asciiTheme="minorHAnsi" w:hAnsiTheme="minorHAnsi" w:cstheme="minorHAnsi"/>
          <w:sz w:val="22"/>
          <w:szCs w:val="22"/>
        </w:rPr>
        <w:t>3 100,00 zł (słownie: trzy tysiące sto złotych)</w:t>
      </w:r>
    </w:p>
    <w:p w14:paraId="11B6E7CF" w14:textId="77777777" w:rsidR="00343DFA" w:rsidRPr="00DF4880" w:rsidRDefault="00343DFA" w:rsidP="006A3226">
      <w:pPr>
        <w:pStyle w:val="Tekstpodstawowy"/>
        <w:tabs>
          <w:tab w:val="left" w:pos="0"/>
        </w:tabs>
        <w:jc w:val="both"/>
        <w:rPr>
          <w:rFonts w:asciiTheme="minorHAnsi" w:hAnsiTheme="minorHAnsi" w:cstheme="minorHAnsi"/>
          <w:i/>
          <w:iCs/>
          <w:sz w:val="22"/>
          <w:szCs w:val="22"/>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DF4880" w:rsidRDefault="005E2EE3" w:rsidP="00212CC6">
      <w:pPr>
        <w:pStyle w:val="Tekstpodstawowy"/>
        <w:tabs>
          <w:tab w:val="left" w:pos="0"/>
        </w:tabs>
        <w:ind w:left="360"/>
        <w:rPr>
          <w:rFonts w:asciiTheme="minorHAnsi" w:hAnsiTheme="minorHAnsi" w:cstheme="minorHAnsi"/>
          <w:spacing w:val="-14"/>
          <w:sz w:val="22"/>
          <w:szCs w:val="22"/>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61452693"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xml:space="preserve">- z adnotacją "Wadium - nr sprawy: </w:t>
      </w:r>
      <w:r w:rsidRPr="006A3226">
        <w:rPr>
          <w:rFonts w:ascii="Calibri" w:hAnsi="Calibri" w:cs="Tahoma"/>
          <w:sz w:val="22"/>
          <w:szCs w:val="22"/>
        </w:rPr>
        <w:t>WT.2370</w:t>
      </w:r>
      <w:r w:rsidR="00DF4880" w:rsidRPr="006A3226">
        <w:rPr>
          <w:rFonts w:ascii="Calibri" w:hAnsi="Calibri" w:cs="Tahoma"/>
          <w:sz w:val="22"/>
          <w:szCs w:val="22"/>
        </w:rPr>
        <w:t>.1</w:t>
      </w:r>
      <w:r w:rsidR="006A3226" w:rsidRPr="006A3226">
        <w:rPr>
          <w:rFonts w:ascii="Calibri" w:hAnsi="Calibri" w:cs="Tahoma"/>
          <w:sz w:val="22"/>
          <w:szCs w:val="22"/>
        </w:rPr>
        <w:t>9</w:t>
      </w:r>
      <w:r w:rsidRPr="006A3226">
        <w:rPr>
          <w:rFonts w:ascii="Calibri" w:hAnsi="Calibri" w:cs="Tahoma"/>
          <w:sz w:val="22"/>
          <w:szCs w:val="22"/>
        </w:rPr>
        <w:t>.202</w:t>
      </w:r>
      <w:r w:rsidR="007043CA" w:rsidRPr="006A3226">
        <w:rPr>
          <w:rFonts w:ascii="Calibri" w:hAnsi="Calibri" w:cs="Tahoma"/>
          <w:sz w:val="22"/>
          <w:szCs w:val="22"/>
        </w:rPr>
        <w:t>4</w:t>
      </w:r>
      <w:r w:rsidRPr="006A3226">
        <w:rPr>
          <w:rFonts w:ascii="Calibri" w:hAnsi="Calibri" w:cs="Tahoma"/>
          <w:sz w:val="22"/>
          <w:szCs w:val="22"/>
        </w:rPr>
        <w:t>”</w:t>
      </w:r>
    </w:p>
    <w:p w14:paraId="3749BD2C"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rsidP="001A022D">
      <w:pPr>
        <w:pStyle w:val="Tekstpodstawowy"/>
        <w:numPr>
          <w:ilvl w:val="0"/>
          <w:numId w:val="7"/>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7D389429" w:rsidR="00E678F5" w:rsidRPr="00900375" w:rsidRDefault="00900375" w:rsidP="001A022D">
      <w:pPr>
        <w:pStyle w:val="Akapitzlist"/>
        <w:numPr>
          <w:ilvl w:val="0"/>
          <w:numId w:val="15"/>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r w:rsidR="00F108DE">
        <w:rPr>
          <w:rFonts w:asciiTheme="minorHAnsi" w:hAnsiTheme="minorHAnsi" w:cstheme="minorHAnsi"/>
          <w:bCs/>
        </w:rPr>
        <w:t>.</w:t>
      </w:r>
      <w:r w:rsidRPr="00900375">
        <w:rPr>
          <w:rFonts w:asciiTheme="minorHAnsi" w:hAnsiTheme="minorHAnsi" w:cstheme="minorHAnsi"/>
          <w:bCs/>
        </w:rPr>
        <w:t xml:space="preserve"> </w:t>
      </w:r>
    </w:p>
    <w:p w14:paraId="2D96FE6C" w14:textId="5F5B04E9" w:rsidR="005E2EE3" w:rsidRPr="00E678F5" w:rsidRDefault="00926862" w:rsidP="001A022D">
      <w:pPr>
        <w:pStyle w:val="Akapitzlist"/>
        <w:numPr>
          <w:ilvl w:val="0"/>
          <w:numId w:val="15"/>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0C3FDB" w:rsidRPr="000C3FDB">
        <w:t xml:space="preserve"> </w:t>
      </w:r>
      <w:r w:rsidR="000C3FDB"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5F5CD589" w14:textId="0D943070"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procesie składania oferty, wniosku w tym przedmiotowych środków dowodowych na platformie, kwalifikowany podpis elektroniczny, podpis zaufany lub podpis osobisty Wykonawca składa bezpośrednio na dokumencie, który następnie przesyła do systemu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Oferta musi być podpisana kwalifikowanym podpisem elektronicznym, podpisem zaufanym lub podpisem osobistym przez osoby upoważnione do składania oświadczeń woli w imieniu Wykonawcy.</w:t>
      </w:r>
    </w:p>
    <w:p w14:paraId="0778CD67"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FDB">
        <w:rPr>
          <w:rFonts w:asciiTheme="minorHAnsi" w:hAnsiTheme="minorHAnsi" w:cstheme="minorHAnsi"/>
          <w:color w:val="00000A"/>
          <w:szCs w:val="22"/>
        </w:rPr>
        <w:t>eIDAS</w:t>
      </w:r>
      <w:proofErr w:type="spellEnd"/>
      <w:r w:rsidRPr="000C3FDB">
        <w:rPr>
          <w:rFonts w:asciiTheme="minorHAnsi" w:hAnsiTheme="minorHAnsi" w:cstheme="minorHAnsi"/>
          <w:color w:val="00000A"/>
          <w:szCs w:val="22"/>
        </w:rPr>
        <w:t>) (UE) nr 910/2014 - od 1 lipca 2016 roku”.</w:t>
      </w:r>
    </w:p>
    <w:p w14:paraId="406C99B9"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przypadku wykorzystania formatu podpisu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 xml:space="preserve"> zewnętrzny. Zamawiający wymaga dołączenia odpowiedniej ilości plików tj. podpisywanych plików z danymi oraz plików podpisu w formacie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w:t>
      </w:r>
    </w:p>
    <w:p w14:paraId="2152159E" w14:textId="156140C4"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Wykonawca,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xml:space="preserve"> może przed upływem terminu składania ofert wycofać ofertę. Sposób dokonywania wycofania oferty zamieszczono w instrukcji zamieszczonej na stronie internetowej pod adresem: </w:t>
      </w:r>
      <w:hyperlink r:id="rId26" w:history="1">
        <w:r w:rsidRPr="009D230E">
          <w:rPr>
            <w:rStyle w:val="Hipercze"/>
            <w:rFonts w:asciiTheme="minorHAnsi" w:hAnsiTheme="minorHAnsi" w:cstheme="minorHAnsi"/>
            <w:szCs w:val="22"/>
          </w:rPr>
          <w:t>https://platformazakupowa.pl/strona/45-instrukcje</w:t>
        </w:r>
      </w:hyperlink>
      <w:r>
        <w:rPr>
          <w:rFonts w:asciiTheme="minorHAnsi" w:hAnsiTheme="minorHAnsi" w:cstheme="minorHAnsi"/>
          <w:color w:val="00000A"/>
          <w:szCs w:val="22"/>
        </w:rPr>
        <w:t xml:space="preserve"> </w:t>
      </w:r>
    </w:p>
    <w:p w14:paraId="5D2B81E1" w14:textId="77777777" w:rsidR="005E2EE3" w:rsidRDefault="00926862" w:rsidP="001A022D">
      <w:pPr>
        <w:pStyle w:val="Default"/>
        <w:numPr>
          <w:ilvl w:val="0"/>
          <w:numId w:val="15"/>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4C3E8E29"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6BB1D783" w:rsidR="005E2EE3" w:rsidRDefault="00D744E9" w:rsidP="00D744E9">
      <w:pPr>
        <w:pStyle w:val="Default"/>
        <w:ind w:left="426"/>
        <w:rPr>
          <w:rFonts w:asciiTheme="minorHAnsi" w:hAnsiTheme="minorHAnsi" w:cstheme="minorHAnsi"/>
          <w:bCs/>
          <w:color w:val="00000A"/>
          <w:sz w:val="20"/>
          <w:szCs w:val="20"/>
        </w:rPr>
      </w:pPr>
      <w:bookmarkStart w:id="10" w:name="_Hlk73694296"/>
      <w:r>
        <w:rPr>
          <w:rFonts w:asciiTheme="minorHAnsi" w:hAnsiTheme="minorHAnsi" w:cstheme="minorHAnsi"/>
          <w:bCs/>
          <w:color w:val="00000A"/>
          <w:sz w:val="20"/>
          <w:szCs w:val="20"/>
        </w:rPr>
        <w:t xml:space="preserve">Wymagana forma: </w:t>
      </w:r>
      <w:bookmarkEnd w:id="10"/>
      <w:r w:rsidR="00845A4D"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sidR="00845A4D">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26DE29DB" w14:textId="49D701A9" w:rsidR="00845A4D" w:rsidRDefault="00845A4D" w:rsidP="00845A4D">
      <w:pPr>
        <w:pStyle w:val="Default"/>
        <w:numPr>
          <w:ilvl w:val="0"/>
          <w:numId w:val="52"/>
        </w:numPr>
        <w:autoSpaceDE w:val="0"/>
        <w:autoSpaceDN w:val="0"/>
        <w:adjustRightInd w:val="0"/>
        <w:ind w:left="851"/>
        <w:rPr>
          <w:rFonts w:asciiTheme="minorHAnsi" w:hAnsiTheme="minorHAnsi" w:cstheme="minorHAnsi"/>
          <w:color w:val="auto"/>
          <w:szCs w:val="22"/>
        </w:rPr>
      </w:pPr>
      <w:bookmarkStart w:id="11"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sidR="00F108DE">
        <w:rPr>
          <w:rFonts w:asciiTheme="minorHAnsi" w:hAnsiTheme="minorHAnsi" w:cstheme="minorHAnsi"/>
          <w:b/>
          <w:bCs/>
          <w:color w:val="auto"/>
          <w:szCs w:val="22"/>
        </w:rPr>
        <w:t xml:space="preserve"> </w:t>
      </w:r>
      <w:r w:rsidRPr="00A63BF2">
        <w:rPr>
          <w:rFonts w:asciiTheme="minorHAnsi" w:hAnsiTheme="minorHAnsi" w:cstheme="minorHAnsi"/>
          <w:b/>
          <w:bCs/>
          <w:color w:val="auto"/>
          <w:szCs w:val="22"/>
        </w:rPr>
        <w:t>do SWZ</w:t>
      </w:r>
    </w:p>
    <w:p w14:paraId="33F872A7" w14:textId="77777777" w:rsidR="00845A4D" w:rsidRPr="00A63BF2" w:rsidRDefault="00845A4D" w:rsidP="00845A4D">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1"/>
    <w:p w14:paraId="5D533E11"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D81045D" w14:textId="33A4A06B"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 xml:space="preserve">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r w:rsidRPr="008661E6">
        <w:rPr>
          <w:rFonts w:asciiTheme="minorHAnsi" w:hAnsiTheme="minorHAnsi" w:cstheme="minorHAnsi"/>
          <w:color w:val="000000" w:themeColor="text1"/>
          <w:sz w:val="20"/>
          <w:szCs w:val="20"/>
        </w:rPr>
        <w:t>.</w:t>
      </w:r>
    </w:p>
    <w:p w14:paraId="39915D18"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Pr>
          <w:rFonts w:asciiTheme="minorHAnsi" w:hAnsiTheme="minorHAnsi" w:cstheme="minorHAnsi"/>
          <w:color w:val="000000" w:themeColor="text1"/>
          <w:szCs w:val="22"/>
        </w:rPr>
        <w:t xml:space="preserve">7 </w:t>
      </w:r>
      <w:r w:rsidRPr="008661E6">
        <w:rPr>
          <w:rFonts w:asciiTheme="minorHAnsi" w:hAnsiTheme="minorHAnsi" w:cstheme="minorHAnsi"/>
          <w:color w:val="000000" w:themeColor="text1"/>
          <w:szCs w:val="22"/>
        </w:rPr>
        <w:t>do SWZ</w:t>
      </w:r>
    </w:p>
    <w:p w14:paraId="18AD3E7C" w14:textId="3DCEC280"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p>
    <w:p w14:paraId="4942C994"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223C04E4" w14:textId="14E15464"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2 lub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4 SWZ.</w:t>
      </w:r>
    </w:p>
    <w:p w14:paraId="7394554C"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1C9946D6" w14:textId="236F371A"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3 SWZ.</w:t>
      </w:r>
    </w:p>
    <w:p w14:paraId="3F3F4DE5"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A9C0EF9" w14:textId="77777777"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1A022D">
      <w:pPr>
        <w:pStyle w:val="Default"/>
        <w:numPr>
          <w:ilvl w:val="0"/>
          <w:numId w:val="15"/>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B0166FB" w:rsidR="007541A1" w:rsidRDefault="00A534BD"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00845A4D"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1F1DD09B" w:rsidR="005E2EE3" w:rsidRPr="00CF1730" w:rsidRDefault="00926862" w:rsidP="001A022D">
      <w:pPr>
        <w:pStyle w:val="Akapitzlist"/>
        <w:numPr>
          <w:ilvl w:val="0"/>
          <w:numId w:val="17"/>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F108DE">
        <w:rPr>
          <w:rFonts w:eastAsia="Times New Roman" w:cstheme="minorHAnsi"/>
          <w:b/>
          <w:bCs/>
          <w:lang w:eastAsia="pl-PL"/>
        </w:rPr>
        <w:t>16</w:t>
      </w:r>
      <w:r w:rsidR="00EC5039">
        <w:rPr>
          <w:rFonts w:eastAsia="Times New Roman" w:cstheme="minorHAnsi"/>
          <w:b/>
          <w:bCs/>
          <w:lang w:eastAsia="pl-PL"/>
        </w:rPr>
        <w:t xml:space="preserve"> </w:t>
      </w:r>
      <w:r w:rsidR="00F108DE">
        <w:rPr>
          <w:rFonts w:eastAsia="Times New Roman" w:cstheme="minorHAnsi"/>
          <w:b/>
          <w:bCs/>
          <w:lang w:eastAsia="pl-PL"/>
        </w:rPr>
        <w:t>września</w:t>
      </w:r>
      <w:r w:rsidRPr="00CF1730">
        <w:rPr>
          <w:rFonts w:eastAsia="Times New Roman" w:cstheme="minorHAnsi"/>
          <w:b/>
          <w:bCs/>
          <w:lang w:eastAsia="pl-PL"/>
        </w:rPr>
        <w:t xml:space="preserve"> 202</w:t>
      </w:r>
      <w:r w:rsidR="004B71A0" w:rsidRPr="00CF1730">
        <w:rPr>
          <w:rFonts w:eastAsia="Times New Roman" w:cstheme="minorHAnsi"/>
          <w:b/>
          <w:bCs/>
          <w:lang w:eastAsia="pl-PL"/>
        </w:rPr>
        <w:t>4</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18AE5DEA" w:rsidR="005E2EE3" w:rsidRPr="00092C55" w:rsidRDefault="00926862" w:rsidP="001A022D">
      <w:pPr>
        <w:pStyle w:val="Akapitzlist"/>
        <w:numPr>
          <w:ilvl w:val="0"/>
          <w:numId w:val="17"/>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F108DE">
        <w:rPr>
          <w:rFonts w:cstheme="minorHAnsi"/>
          <w:b/>
        </w:rPr>
        <w:t>16 września</w:t>
      </w:r>
      <w:r w:rsidRPr="00CF1730">
        <w:rPr>
          <w:rFonts w:cstheme="minorHAnsi"/>
          <w:b/>
        </w:rPr>
        <w:t xml:space="preserve"> 202</w:t>
      </w:r>
      <w:r w:rsidR="004B71A0" w:rsidRPr="00CF1730">
        <w:rPr>
          <w:rFonts w:cstheme="minorHAnsi"/>
          <w:b/>
        </w:rPr>
        <w:t>4</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062E300" w:rsidR="00092C55" w:rsidRPr="00513160" w:rsidRDefault="00092C55" w:rsidP="001A022D">
      <w:pPr>
        <w:pStyle w:val="Akapitzlist"/>
        <w:numPr>
          <w:ilvl w:val="0"/>
          <w:numId w:val="17"/>
        </w:numPr>
        <w:spacing w:after="0" w:line="240" w:lineRule="auto"/>
        <w:ind w:left="426"/>
        <w:jc w:val="both"/>
        <w:rPr>
          <w:strike/>
        </w:rPr>
      </w:pPr>
      <w:r w:rsidRPr="00092C55">
        <w:rPr>
          <w:rFonts w:cs="Calibri"/>
        </w:rPr>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4DC6E34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Oferta lub wniosek składana elektronicznie musi zostać podpisana elektronicznym podpisem kwalifikowanym</w:t>
      </w:r>
      <w:r w:rsidR="00845A4D">
        <w:rPr>
          <w:rFonts w:cs="Calibri"/>
        </w:rPr>
        <w:t>, podpisem zaufanych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rsidP="001A022D">
      <w:pPr>
        <w:pStyle w:val="Akapitzlist"/>
        <w:numPr>
          <w:ilvl w:val="0"/>
          <w:numId w:val="17"/>
        </w:numPr>
        <w:spacing w:after="0" w:line="240" w:lineRule="auto"/>
        <w:ind w:left="426"/>
        <w:jc w:val="both"/>
        <w:rPr>
          <w:rFonts w:cs="Calibri"/>
        </w:rPr>
      </w:pPr>
      <w:bookmarkStart w:id="12" w:name="_1fob9te" w:colFirst="0" w:colLast="0"/>
      <w:bookmarkEnd w:id="12"/>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1A022D">
      <w:pPr>
        <w:pStyle w:val="Akapitzlist"/>
        <w:numPr>
          <w:ilvl w:val="0"/>
          <w:numId w:val="17"/>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620AB0A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03B09BF" w14:textId="77777777" w:rsidR="00845A4D" w:rsidRPr="007541A1" w:rsidRDefault="00845A4D"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p w14:paraId="72018A1C" w14:textId="63879809" w:rsidR="00974315" w:rsidRPr="00A318DA" w:rsidRDefault="00974315" w:rsidP="00974315">
      <w:pPr>
        <w:widowControl w:val="0"/>
        <w:shd w:val="clear" w:color="auto" w:fill="FFFFFF"/>
        <w:tabs>
          <w:tab w:val="left" w:pos="0"/>
        </w:tabs>
        <w:spacing w:after="0" w:line="240" w:lineRule="auto"/>
        <w:ind w:left="426"/>
        <w:rPr>
          <w:rFonts w:cs="Tahoma"/>
          <w:b/>
          <w:bCs/>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95AC002" w14:textId="77777777" w:rsidTr="00397FFE">
        <w:trPr>
          <w:trHeight w:val="284"/>
          <w:jc w:val="center"/>
        </w:trPr>
        <w:tc>
          <w:tcPr>
            <w:tcW w:w="381" w:type="dxa"/>
            <w:vAlign w:val="center"/>
          </w:tcPr>
          <w:p w14:paraId="401C502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93CBFD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4A99623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79F3A5E3" w14:textId="77777777" w:rsidTr="00397FFE">
        <w:trPr>
          <w:jc w:val="center"/>
        </w:trPr>
        <w:tc>
          <w:tcPr>
            <w:tcW w:w="381" w:type="dxa"/>
            <w:hideMark/>
          </w:tcPr>
          <w:p w14:paraId="2985049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6F0EC67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24E17FE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4329C570" w14:textId="77777777" w:rsidTr="00397FFE">
        <w:trPr>
          <w:jc w:val="center"/>
        </w:trPr>
        <w:tc>
          <w:tcPr>
            <w:tcW w:w="381" w:type="dxa"/>
            <w:hideMark/>
          </w:tcPr>
          <w:p w14:paraId="257C38C4" w14:textId="4586C13F"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299A7B2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2673CA6F" w14:textId="50F8B9BA"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2FCDFF82" w14:textId="77777777" w:rsidTr="00397FFE">
        <w:trPr>
          <w:jc w:val="center"/>
        </w:trPr>
        <w:tc>
          <w:tcPr>
            <w:tcW w:w="3663" w:type="dxa"/>
            <w:gridSpan w:val="2"/>
            <w:tcBorders>
              <w:top w:val="single" w:sz="4" w:space="0" w:color="auto"/>
              <w:left w:val="nil"/>
              <w:bottom w:val="nil"/>
              <w:right w:val="nil"/>
            </w:tcBorders>
            <w:hideMark/>
          </w:tcPr>
          <w:p w14:paraId="34882D9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674A7DE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CCFF539" w14:textId="77777777" w:rsidR="00974315"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0FF3AC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7A7E275F" w14:textId="77777777" w:rsid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54B9743A"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69ACB3B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176EA0B"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69FD5FD1"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851BB21"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3284B18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279BB8B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1C0A76E3"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D36568B" w14:textId="4A1DCCD9" w:rsidR="00974315" w:rsidRP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18A2D5EF"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39F5F79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2C27ED17" w14:textId="78CF7676"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Pr>
          <w:rFonts w:asciiTheme="minorHAnsi" w:eastAsia="Times New Roman" w:hAnsiTheme="minorHAnsi" w:cstheme="minorHAnsi"/>
          <w:lang w:eastAsia="pl-PL"/>
        </w:rPr>
        <w:t xml:space="preserve"> </w:t>
      </w:r>
      <w:r w:rsidRPr="00A278FD">
        <w:rPr>
          <w:rFonts w:asciiTheme="minorHAnsi" w:eastAsia="Times New Roman" w:hAnsiTheme="minorHAnsi" w:cstheme="minorHAnsi"/>
          <w:lang w:eastAsia="pl-PL"/>
        </w:rPr>
        <w:t>miesi</w:t>
      </w:r>
      <w:r>
        <w:rPr>
          <w:rFonts w:asciiTheme="minorHAnsi" w:eastAsia="Times New Roman" w:hAnsiTheme="minorHAnsi" w:cstheme="minorHAnsi"/>
          <w:lang w:eastAsia="pl-PL"/>
        </w:rPr>
        <w:t>ące</w:t>
      </w:r>
      <w:r w:rsidRPr="00A278FD">
        <w:rPr>
          <w:rFonts w:asciiTheme="minorHAnsi" w:eastAsia="Times New Roman" w:hAnsiTheme="minorHAnsi" w:cstheme="minorHAnsi"/>
          <w:lang w:eastAsia="pl-PL"/>
        </w:rPr>
        <w:t xml:space="preserve"> – 0,00 pkt</w:t>
      </w:r>
    </w:p>
    <w:p w14:paraId="12BF5CA8" w14:textId="24E00F2A"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25</w:t>
      </w:r>
      <w:r w:rsidRPr="00A278FD">
        <w:rPr>
          <w:rFonts w:asciiTheme="minorHAnsi" w:eastAsia="Times New Roman" w:hAnsiTheme="minorHAnsi" w:cstheme="minorHAnsi"/>
          <w:lang w:eastAsia="pl-PL"/>
        </w:rPr>
        <w:t>-3</w:t>
      </w:r>
      <w:r>
        <w:rPr>
          <w:rFonts w:asciiTheme="minorHAnsi" w:eastAsia="Times New Roman" w:hAnsiTheme="minorHAnsi" w:cstheme="minorHAnsi"/>
          <w:lang w:eastAsia="pl-PL"/>
        </w:rPr>
        <w:t>6</w:t>
      </w:r>
      <w:r w:rsidRPr="00A278FD">
        <w:rPr>
          <w:rFonts w:asciiTheme="minorHAnsi" w:eastAsia="Times New Roman" w:hAnsiTheme="minorHAnsi" w:cstheme="minorHAnsi"/>
          <w:lang w:eastAsia="pl-PL"/>
        </w:rPr>
        <w:t xml:space="preserve"> miesięcy – </w:t>
      </w:r>
      <w:r>
        <w:rPr>
          <w:rFonts w:asciiTheme="minorHAnsi" w:eastAsia="Times New Roman" w:hAnsiTheme="minorHAnsi" w:cstheme="minorHAnsi"/>
          <w:lang w:eastAsia="pl-PL"/>
        </w:rPr>
        <w:t>10</w:t>
      </w:r>
      <w:r w:rsidRPr="00A278FD">
        <w:rPr>
          <w:rFonts w:asciiTheme="minorHAnsi" w:eastAsia="Times New Roman" w:hAnsiTheme="minorHAnsi" w:cstheme="minorHAnsi"/>
          <w:lang w:eastAsia="pl-PL"/>
        </w:rPr>
        <w:t>,00 pkt</w:t>
      </w:r>
    </w:p>
    <w:p w14:paraId="52524F94" w14:textId="76FB4CBC"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37-47 miesięcy – 20,00 pkt</w:t>
      </w:r>
    </w:p>
    <w:p w14:paraId="03338E77" w14:textId="3A0ADF37"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48 miesięcy lub więcej – 40,00 pkt</w:t>
      </w:r>
    </w:p>
    <w:p w14:paraId="49757AC9" w14:textId="77777777" w:rsidR="00974315" w:rsidRPr="000A046A" w:rsidRDefault="00974315">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75A89367" w14:textId="77777777" w:rsidR="000A046A" w:rsidRP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1A022D">
      <w:pPr>
        <w:pStyle w:val="Akapitzlist"/>
        <w:numPr>
          <w:ilvl w:val="0"/>
          <w:numId w:val="22"/>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1A022D">
      <w:pPr>
        <w:pStyle w:val="Akapitzlist"/>
        <w:numPr>
          <w:ilvl w:val="0"/>
          <w:numId w:val="22"/>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1A022D">
      <w:pPr>
        <w:pStyle w:val="Akapitzlist"/>
        <w:numPr>
          <w:ilvl w:val="0"/>
          <w:numId w:val="22"/>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1A022D">
      <w:pPr>
        <w:pStyle w:val="Akapitzlist"/>
        <w:numPr>
          <w:ilvl w:val="0"/>
          <w:numId w:val="22"/>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B70C2FD"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FD2C8D4"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8F941F0" w14:textId="09679984"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7244157D" w:rsidR="005E440B" w:rsidRP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1A022D">
      <w:pPr>
        <w:pStyle w:val="Akapitzlist"/>
        <w:numPr>
          <w:ilvl w:val="0"/>
          <w:numId w:val="8"/>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1A022D">
      <w:pPr>
        <w:pStyle w:val="Akapitzlist"/>
        <w:widowControl w:val="0"/>
        <w:numPr>
          <w:ilvl w:val="0"/>
          <w:numId w:val="8"/>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1A022D">
      <w:pPr>
        <w:pStyle w:val="Akapitzlist"/>
        <w:widowControl w:val="0"/>
        <w:numPr>
          <w:ilvl w:val="0"/>
          <w:numId w:val="8"/>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43B95B10" w:rsidR="005E2EE3" w:rsidRDefault="00225213" w:rsidP="001A022D">
      <w:pPr>
        <w:pStyle w:val="Akapitzlist"/>
        <w:numPr>
          <w:ilvl w:val="0"/>
          <w:numId w:val="9"/>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z Wykonawcą, który złożył ofertę najkorzystniejszą</w:t>
      </w:r>
      <w:r w:rsidR="00F108DE">
        <w:rPr>
          <w:rFonts w:cs="Tahoma"/>
          <w:iCs/>
          <w:color w:val="000000"/>
          <w:spacing w:val="1"/>
        </w:rPr>
        <w:t>.</w:t>
      </w:r>
      <w:r w:rsidRPr="00225213">
        <w:rPr>
          <w:rFonts w:cs="Tahoma"/>
          <w:iCs/>
          <w:color w:val="000000"/>
          <w:spacing w:val="1"/>
        </w:rPr>
        <w:t xml:space="preserve"> </w:t>
      </w:r>
    </w:p>
    <w:p w14:paraId="21296099" w14:textId="77777777" w:rsidR="005E2EE3"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3" w:history="1">
        <w:r>
          <w:rPr>
            <w:rStyle w:val="Hipercze"/>
            <w:rFonts w:cs="Tahoma"/>
          </w:rPr>
          <w:t>kw@kwpsp.wroc.pl</w:t>
        </w:r>
      </w:hyperlink>
    </w:p>
    <w:p w14:paraId="4AB1E1E2"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4" w:history="1">
        <w:r>
          <w:rPr>
            <w:rStyle w:val="Hipercze"/>
            <w:rFonts w:cs="Tahoma"/>
          </w:rPr>
          <w:t>iod@kwpsp.wroc.pl</w:t>
        </w:r>
      </w:hyperlink>
      <w:r>
        <w:rPr>
          <w:rFonts w:cs="Tahoma"/>
          <w:color w:val="000000"/>
        </w:rPr>
        <w:t xml:space="preserve"> </w:t>
      </w:r>
    </w:p>
    <w:p w14:paraId="253372FF"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Pr>
            <w:rStyle w:val="Hipercze"/>
            <w:rFonts w:cs="Tahoma"/>
          </w:rPr>
          <w:t>https://ezamowienia.gov.pl/pl/</w:t>
        </w:r>
      </w:hyperlink>
      <w:r>
        <w:rPr>
          <w:rFonts w:cs="Tahoma"/>
          <w:color w:val="000000"/>
        </w:rPr>
        <w:t xml:space="preserve"> </w:t>
      </w:r>
    </w:p>
    <w:p w14:paraId="6A4B688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1A022D">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1A022D">
      <w:pPr>
        <w:pStyle w:val="Poziom2"/>
        <w:widowControl w:val="0"/>
        <w:numPr>
          <w:ilvl w:val="0"/>
          <w:numId w:val="33"/>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16C789E3" w:rsidR="005E2EE3" w:rsidRDefault="00926862" w:rsidP="00013815">
      <w:pPr>
        <w:tabs>
          <w:tab w:val="left" w:pos="0"/>
          <w:tab w:val="left" w:pos="2268"/>
        </w:tabs>
        <w:spacing w:after="0" w:line="240" w:lineRule="auto"/>
      </w:pPr>
      <w:r>
        <w:rPr>
          <w:rFonts w:cs="Tahoma"/>
        </w:rPr>
        <w:t>Załącznik nr 1 - Formularz ofertowy</w:t>
      </w:r>
    </w:p>
    <w:p w14:paraId="426FD3E6" w14:textId="7499F281" w:rsidR="005E2EE3" w:rsidRDefault="00926862" w:rsidP="00013815">
      <w:pPr>
        <w:tabs>
          <w:tab w:val="left" w:pos="0"/>
          <w:tab w:val="left" w:pos="2268"/>
        </w:tabs>
        <w:spacing w:after="0" w:line="240" w:lineRule="auto"/>
        <w:rPr>
          <w:rFonts w:cs="Tahoma"/>
        </w:rPr>
      </w:pPr>
      <w:r>
        <w:rPr>
          <w:rFonts w:cs="Tahoma"/>
        </w:rPr>
        <w:t>Załącznik nr 2 - Specyfikacja techniczna</w:t>
      </w:r>
    </w:p>
    <w:p w14:paraId="572105BB" w14:textId="08F44C2A" w:rsidR="005E2EE3" w:rsidRDefault="00926862" w:rsidP="00013815">
      <w:pPr>
        <w:tabs>
          <w:tab w:val="left" w:pos="0"/>
          <w:tab w:val="left" w:pos="2268"/>
        </w:tabs>
        <w:spacing w:after="0" w:line="240" w:lineRule="auto"/>
        <w:rPr>
          <w:rFonts w:cs="Tahoma"/>
        </w:rPr>
      </w:pPr>
      <w:r>
        <w:rPr>
          <w:rFonts w:cs="Tahoma"/>
        </w:rPr>
        <w:t xml:space="preserve">Załącznik nr 3 </w:t>
      </w:r>
      <w:r w:rsidR="00A700B5">
        <w:rPr>
          <w:rFonts w:cs="Tahoma"/>
        </w:rPr>
        <w:t>-</w:t>
      </w:r>
      <w:r>
        <w:rPr>
          <w:rFonts w:cs="Tahoma"/>
        </w:rPr>
        <w:t xml:space="preserve"> </w:t>
      </w:r>
      <w:r w:rsidR="001F2AF9">
        <w:rPr>
          <w:rFonts w:cs="Tahoma"/>
        </w:rPr>
        <w:t xml:space="preserve">Oświadczenie wstępne z art. 125 ust. 1 </w:t>
      </w:r>
      <w:proofErr w:type="spellStart"/>
      <w:r w:rsidR="001F2AF9">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0E0C9BDC" w14:textId="25FFC69D"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7 - </w:t>
      </w:r>
      <w:r w:rsidR="009A4D6F" w:rsidRPr="00A7711D">
        <w:rPr>
          <w:rFonts w:cs="Tahoma"/>
        </w:rPr>
        <w:t xml:space="preserve">Oświadczenie dotyczące przesłanek wykluczenia z </w:t>
      </w:r>
      <w:r w:rsidR="009A4D6F" w:rsidRPr="009A4D6F">
        <w:rPr>
          <w:rFonts w:cs="Tahoma"/>
        </w:rPr>
        <w:t>art. 7 ust. 1 ustawy o szczególnych rozwiązaniach w zakresie przeciwdziałania</w:t>
      </w:r>
      <w:r w:rsidR="00A700B5">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682E39">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5"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9"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0"/>
  </w:num>
  <w:num w:numId="2" w16cid:durableId="433792935">
    <w:abstractNumId w:val="6"/>
  </w:num>
  <w:num w:numId="3" w16cid:durableId="803041494">
    <w:abstractNumId w:val="0"/>
  </w:num>
  <w:num w:numId="4" w16cid:durableId="1422337442">
    <w:abstractNumId w:val="47"/>
  </w:num>
  <w:num w:numId="5" w16cid:durableId="1055356354">
    <w:abstractNumId w:val="8"/>
  </w:num>
  <w:num w:numId="6" w16cid:durableId="436682090">
    <w:abstractNumId w:val="44"/>
  </w:num>
  <w:num w:numId="7" w16cid:durableId="1961836925">
    <w:abstractNumId w:val="37"/>
  </w:num>
  <w:num w:numId="8" w16cid:durableId="543098164">
    <w:abstractNumId w:val="15"/>
  </w:num>
  <w:num w:numId="9" w16cid:durableId="505560705">
    <w:abstractNumId w:val="48"/>
  </w:num>
  <w:num w:numId="10" w16cid:durableId="10843015">
    <w:abstractNumId w:val="13"/>
  </w:num>
  <w:num w:numId="11" w16cid:durableId="1503277658">
    <w:abstractNumId w:val="19"/>
  </w:num>
  <w:num w:numId="12" w16cid:durableId="1524049570">
    <w:abstractNumId w:val="3"/>
  </w:num>
  <w:num w:numId="13" w16cid:durableId="1460613119">
    <w:abstractNumId w:val="22"/>
  </w:num>
  <w:num w:numId="14" w16cid:durableId="481774863">
    <w:abstractNumId w:val="7"/>
  </w:num>
  <w:num w:numId="15" w16cid:durableId="1559827657">
    <w:abstractNumId w:val="34"/>
  </w:num>
  <w:num w:numId="16" w16cid:durableId="1025136175">
    <w:abstractNumId w:val="21"/>
  </w:num>
  <w:num w:numId="17" w16cid:durableId="2510980">
    <w:abstractNumId w:val="11"/>
  </w:num>
  <w:num w:numId="18" w16cid:durableId="1485317142">
    <w:abstractNumId w:val="18"/>
  </w:num>
  <w:num w:numId="19" w16cid:durableId="1487091805">
    <w:abstractNumId w:val="16"/>
  </w:num>
  <w:num w:numId="20" w16cid:durableId="1447390745">
    <w:abstractNumId w:val="27"/>
  </w:num>
  <w:num w:numId="21" w16cid:durableId="566186590">
    <w:abstractNumId w:val="9"/>
  </w:num>
  <w:num w:numId="22" w16cid:durableId="820578248">
    <w:abstractNumId w:val="28"/>
  </w:num>
  <w:num w:numId="23" w16cid:durableId="1851145111">
    <w:abstractNumId w:val="23"/>
  </w:num>
  <w:num w:numId="24" w16cid:durableId="885919288">
    <w:abstractNumId w:val="20"/>
  </w:num>
  <w:num w:numId="25" w16cid:durableId="1207529841">
    <w:abstractNumId w:val="38"/>
  </w:num>
  <w:num w:numId="26" w16cid:durableId="1400130740">
    <w:abstractNumId w:val="46"/>
  </w:num>
  <w:num w:numId="27" w16cid:durableId="631594239">
    <w:abstractNumId w:val="41"/>
  </w:num>
  <w:num w:numId="28" w16cid:durableId="1049956737">
    <w:abstractNumId w:val="14"/>
  </w:num>
  <w:num w:numId="29" w16cid:durableId="1602033521">
    <w:abstractNumId w:val="50"/>
  </w:num>
  <w:num w:numId="30" w16cid:durableId="584996178">
    <w:abstractNumId w:val="42"/>
  </w:num>
  <w:num w:numId="31" w16cid:durableId="821043296">
    <w:abstractNumId w:val="29"/>
  </w:num>
  <w:num w:numId="32" w16cid:durableId="1932278906">
    <w:abstractNumId w:val="32"/>
  </w:num>
  <w:num w:numId="33"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5951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93426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8544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324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7591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867054">
    <w:abstractNumId w:val="39"/>
  </w:num>
  <w:num w:numId="40" w16cid:durableId="1775705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264442">
    <w:abstractNumId w:val="17"/>
  </w:num>
  <w:num w:numId="42" w16cid:durableId="1846632797">
    <w:abstractNumId w:val="12"/>
  </w:num>
  <w:num w:numId="43" w16cid:durableId="1895462948">
    <w:abstractNumId w:val="10"/>
  </w:num>
  <w:num w:numId="44" w16cid:durableId="882134910">
    <w:abstractNumId w:val="31"/>
  </w:num>
  <w:num w:numId="45" w16cid:durableId="1901359023">
    <w:abstractNumId w:val="49"/>
  </w:num>
  <w:num w:numId="46" w16cid:durableId="1359045620">
    <w:abstractNumId w:val="36"/>
  </w:num>
  <w:num w:numId="47" w16cid:durableId="591662647">
    <w:abstractNumId w:val="24"/>
  </w:num>
  <w:num w:numId="48" w16cid:durableId="1797679621">
    <w:abstractNumId w:val="43"/>
  </w:num>
  <w:num w:numId="49" w16cid:durableId="1374843886">
    <w:abstractNumId w:val="4"/>
  </w:num>
  <w:num w:numId="50" w16cid:durableId="343091690">
    <w:abstractNumId w:val="2"/>
  </w:num>
  <w:num w:numId="51" w16cid:durableId="701396139">
    <w:abstractNumId w:val="25"/>
  </w:num>
  <w:num w:numId="52" w16cid:durableId="41177677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40A10"/>
    <w:rsid w:val="00053871"/>
    <w:rsid w:val="00057DD3"/>
    <w:rsid w:val="000606BD"/>
    <w:rsid w:val="00086380"/>
    <w:rsid w:val="00091BDA"/>
    <w:rsid w:val="00092C55"/>
    <w:rsid w:val="00093EAA"/>
    <w:rsid w:val="000A046A"/>
    <w:rsid w:val="000A2F51"/>
    <w:rsid w:val="000C3FDB"/>
    <w:rsid w:val="000E0263"/>
    <w:rsid w:val="00116945"/>
    <w:rsid w:val="00164429"/>
    <w:rsid w:val="00167E9C"/>
    <w:rsid w:val="001711A9"/>
    <w:rsid w:val="00181465"/>
    <w:rsid w:val="0018221B"/>
    <w:rsid w:val="001875DD"/>
    <w:rsid w:val="001A022D"/>
    <w:rsid w:val="001A4CB5"/>
    <w:rsid w:val="001B70EA"/>
    <w:rsid w:val="001F2AF9"/>
    <w:rsid w:val="00212CC6"/>
    <w:rsid w:val="002176EE"/>
    <w:rsid w:val="00225213"/>
    <w:rsid w:val="00227E7F"/>
    <w:rsid w:val="00287C23"/>
    <w:rsid w:val="002915A4"/>
    <w:rsid w:val="002938A0"/>
    <w:rsid w:val="002953AA"/>
    <w:rsid w:val="00296360"/>
    <w:rsid w:val="002B65E9"/>
    <w:rsid w:val="002C2D2C"/>
    <w:rsid w:val="002E7030"/>
    <w:rsid w:val="00317001"/>
    <w:rsid w:val="00335450"/>
    <w:rsid w:val="00337441"/>
    <w:rsid w:val="00337A91"/>
    <w:rsid w:val="00343DFA"/>
    <w:rsid w:val="00355181"/>
    <w:rsid w:val="00363692"/>
    <w:rsid w:val="003762B7"/>
    <w:rsid w:val="003F68B3"/>
    <w:rsid w:val="00424FE0"/>
    <w:rsid w:val="00440F8E"/>
    <w:rsid w:val="004A6959"/>
    <w:rsid w:val="004A6EE1"/>
    <w:rsid w:val="004B461C"/>
    <w:rsid w:val="004B71A0"/>
    <w:rsid w:val="004C606F"/>
    <w:rsid w:val="00510E47"/>
    <w:rsid w:val="00513160"/>
    <w:rsid w:val="00520440"/>
    <w:rsid w:val="00527876"/>
    <w:rsid w:val="00562010"/>
    <w:rsid w:val="00562788"/>
    <w:rsid w:val="0057390D"/>
    <w:rsid w:val="00591080"/>
    <w:rsid w:val="00593D91"/>
    <w:rsid w:val="005A4DA5"/>
    <w:rsid w:val="005B5D8D"/>
    <w:rsid w:val="005C7AA6"/>
    <w:rsid w:val="005E2EE3"/>
    <w:rsid w:val="005E440B"/>
    <w:rsid w:val="00615FDE"/>
    <w:rsid w:val="00632C17"/>
    <w:rsid w:val="006425B7"/>
    <w:rsid w:val="00670809"/>
    <w:rsid w:val="00682E39"/>
    <w:rsid w:val="006A0D92"/>
    <w:rsid w:val="006A3226"/>
    <w:rsid w:val="006B085B"/>
    <w:rsid w:val="006B64A5"/>
    <w:rsid w:val="006E2582"/>
    <w:rsid w:val="006E3385"/>
    <w:rsid w:val="006F0E2A"/>
    <w:rsid w:val="006F2451"/>
    <w:rsid w:val="007043CA"/>
    <w:rsid w:val="007130A9"/>
    <w:rsid w:val="007203C6"/>
    <w:rsid w:val="00726E01"/>
    <w:rsid w:val="007277B1"/>
    <w:rsid w:val="007302A8"/>
    <w:rsid w:val="007541A1"/>
    <w:rsid w:val="007713F0"/>
    <w:rsid w:val="00773108"/>
    <w:rsid w:val="007769D0"/>
    <w:rsid w:val="00776B0D"/>
    <w:rsid w:val="00793116"/>
    <w:rsid w:val="00795892"/>
    <w:rsid w:val="007A3AB5"/>
    <w:rsid w:val="007A7BD6"/>
    <w:rsid w:val="007C5578"/>
    <w:rsid w:val="007D55F9"/>
    <w:rsid w:val="00832F2C"/>
    <w:rsid w:val="00845A4D"/>
    <w:rsid w:val="0084659E"/>
    <w:rsid w:val="008503AE"/>
    <w:rsid w:val="00852A68"/>
    <w:rsid w:val="00853A32"/>
    <w:rsid w:val="00857BFC"/>
    <w:rsid w:val="00897229"/>
    <w:rsid w:val="008B070C"/>
    <w:rsid w:val="008B244A"/>
    <w:rsid w:val="008B3549"/>
    <w:rsid w:val="008B5896"/>
    <w:rsid w:val="008D4DCF"/>
    <w:rsid w:val="008D5C96"/>
    <w:rsid w:val="008E100D"/>
    <w:rsid w:val="008F5FB8"/>
    <w:rsid w:val="00900375"/>
    <w:rsid w:val="0091322D"/>
    <w:rsid w:val="009167E2"/>
    <w:rsid w:val="00926862"/>
    <w:rsid w:val="00930955"/>
    <w:rsid w:val="00934D3E"/>
    <w:rsid w:val="0094559D"/>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700B5"/>
    <w:rsid w:val="00A7711D"/>
    <w:rsid w:val="00AD1F88"/>
    <w:rsid w:val="00AD2963"/>
    <w:rsid w:val="00AE1DBC"/>
    <w:rsid w:val="00AF3AA2"/>
    <w:rsid w:val="00B17768"/>
    <w:rsid w:val="00B670D1"/>
    <w:rsid w:val="00B81410"/>
    <w:rsid w:val="00B91A51"/>
    <w:rsid w:val="00B91D4B"/>
    <w:rsid w:val="00B95A4A"/>
    <w:rsid w:val="00BB1F58"/>
    <w:rsid w:val="00BC247A"/>
    <w:rsid w:val="00BC57A6"/>
    <w:rsid w:val="00C11F81"/>
    <w:rsid w:val="00C27449"/>
    <w:rsid w:val="00C40724"/>
    <w:rsid w:val="00CC58D4"/>
    <w:rsid w:val="00CD306B"/>
    <w:rsid w:val="00CD392E"/>
    <w:rsid w:val="00CF1730"/>
    <w:rsid w:val="00D252A9"/>
    <w:rsid w:val="00D41800"/>
    <w:rsid w:val="00D460D6"/>
    <w:rsid w:val="00D5403F"/>
    <w:rsid w:val="00D564C6"/>
    <w:rsid w:val="00D56A3B"/>
    <w:rsid w:val="00D744E9"/>
    <w:rsid w:val="00D82ACF"/>
    <w:rsid w:val="00D8443F"/>
    <w:rsid w:val="00DD291F"/>
    <w:rsid w:val="00DD2959"/>
    <w:rsid w:val="00DD2BE0"/>
    <w:rsid w:val="00DD668D"/>
    <w:rsid w:val="00DF4880"/>
    <w:rsid w:val="00E15225"/>
    <w:rsid w:val="00E30F0D"/>
    <w:rsid w:val="00E678F5"/>
    <w:rsid w:val="00E7365E"/>
    <w:rsid w:val="00E76E93"/>
    <w:rsid w:val="00E85994"/>
    <w:rsid w:val="00EA16FD"/>
    <w:rsid w:val="00EC5039"/>
    <w:rsid w:val="00EE1706"/>
    <w:rsid w:val="00EE4FB1"/>
    <w:rsid w:val="00F108DE"/>
    <w:rsid w:val="00F505A8"/>
    <w:rsid w:val="00F85348"/>
    <w:rsid w:val="00F920BA"/>
    <w:rsid w:val="00FD23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kwpsp.wroc.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w@kwpsp.wroc.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kwpsp_wroclaw" TargetMode="External"/><Relationship Id="rId36" Type="http://schemas.openxmlformats.org/officeDocument/2006/relationships/fontTable" Target="fontTable.xm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9624</Words>
  <Characters>57745</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3</cp:revision>
  <cp:lastPrinted>2023-02-02T11:31:00Z</cp:lastPrinted>
  <dcterms:created xsi:type="dcterms:W3CDTF">2024-09-06T09:51:00Z</dcterms:created>
  <dcterms:modified xsi:type="dcterms:W3CDTF">2024-09-06T11:31:00Z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