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8D1733" w:rsidRDefault="002A7F59" w:rsidP="008D1733">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8D1733" w:rsidRPr="008D1733" w:rsidRDefault="002A7F59" w:rsidP="008D1733">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D2098B" w:rsidRDefault="002A7F59" w:rsidP="00776495">
      <w:pPr>
        <w:numPr>
          <w:ilvl w:val="0"/>
          <w:numId w:val="10"/>
        </w:numPr>
        <w:spacing w:after="0"/>
        <w:ind w:left="284" w:hanging="284"/>
        <w:contextualSpacing/>
        <w:jc w:val="both"/>
        <w:rPr>
          <w:rFonts w:ascii="Arial" w:eastAsia="Times New Roman" w:hAnsi="Arial" w:cs="Arial"/>
          <w:bCs/>
          <w:sz w:val="20"/>
          <w:szCs w:val="24"/>
          <w:lang w:eastAsia="pl-PL"/>
        </w:rPr>
      </w:pPr>
      <w:r w:rsidRPr="00BD7AF3">
        <w:rPr>
          <w:rFonts w:ascii="Arial" w:hAnsi="Arial" w:cs="Arial"/>
          <w:sz w:val="20"/>
          <w:szCs w:val="20"/>
        </w:rPr>
        <w:t xml:space="preserve">wyniku dokonanego wyboru oferty w postępowaniu przeprowadzonym w trybie </w:t>
      </w:r>
      <w:r>
        <w:rPr>
          <w:rFonts w:ascii="Arial" w:hAnsi="Arial" w:cs="Arial"/>
          <w:sz w:val="20"/>
          <w:szCs w:val="20"/>
        </w:rPr>
        <w:t>podstawowym bez negocjacji na podstawie art. 275 pkt 1 ustawy</w:t>
      </w:r>
      <w:r w:rsidRPr="00BD7AF3">
        <w:rPr>
          <w:rFonts w:ascii="Arial" w:hAnsi="Arial" w:cs="Arial"/>
          <w:sz w:val="20"/>
          <w:szCs w:val="20"/>
        </w:rPr>
        <w:t xml:space="preserve"> z dnia </w:t>
      </w:r>
      <w:r>
        <w:rPr>
          <w:rFonts w:ascii="Arial" w:hAnsi="Arial" w:cs="Arial"/>
          <w:sz w:val="20"/>
          <w:szCs w:val="20"/>
        </w:rPr>
        <w:t>11 września</w:t>
      </w:r>
      <w:r w:rsidRPr="00BD7AF3">
        <w:rPr>
          <w:rFonts w:ascii="Arial" w:hAnsi="Arial" w:cs="Arial"/>
          <w:sz w:val="20"/>
          <w:szCs w:val="20"/>
        </w:rPr>
        <w:t xml:space="preserve"> 20</w:t>
      </w:r>
      <w:r>
        <w:rPr>
          <w:rFonts w:ascii="Arial" w:hAnsi="Arial" w:cs="Arial"/>
          <w:sz w:val="20"/>
          <w:szCs w:val="20"/>
        </w:rPr>
        <w:t xml:space="preserve">19 r. Prawo zamówień publicznych </w:t>
      </w:r>
      <w:r w:rsidRPr="00BD7AF3">
        <w:rPr>
          <w:rFonts w:ascii="Arial" w:hAnsi="Arial" w:cs="Arial"/>
          <w:sz w:val="20"/>
          <w:szCs w:val="20"/>
        </w:rPr>
        <w:t xml:space="preserve">(Dz. U. z 2019 r., poz. </w:t>
      </w:r>
      <w:r>
        <w:rPr>
          <w:rFonts w:ascii="Arial" w:hAnsi="Arial" w:cs="Arial"/>
          <w:sz w:val="20"/>
          <w:szCs w:val="20"/>
        </w:rPr>
        <w:t>2019</w:t>
      </w:r>
      <w:r w:rsidRPr="00BD7AF3">
        <w:rPr>
          <w:rFonts w:ascii="Arial" w:hAnsi="Arial" w:cs="Arial"/>
          <w:sz w:val="20"/>
          <w:szCs w:val="20"/>
        </w:rPr>
        <w:t xml:space="preserve"> ze zm.) Zamawiający zleca, a Wykonawca zobowiązuje się do wykonania zadania pn.</w:t>
      </w:r>
      <w:r>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Pr="002A7F59">
        <w:rPr>
          <w:rFonts w:ascii="Arial" w:hAnsi="Arial" w:cs="Arial"/>
          <w:b/>
          <w:sz w:val="20"/>
        </w:rPr>
        <w:t>Budowa drogi dojazdowej do budynku żłobka w Czersku</w:t>
      </w:r>
      <w:r w:rsidR="008D1733" w:rsidRPr="00D2098B">
        <w:rPr>
          <w:rFonts w:ascii="Arial" w:eastAsia="Times New Roman" w:hAnsi="Arial" w:cs="Arial"/>
          <w:b/>
          <w:bCs/>
          <w:sz w:val="20"/>
          <w:szCs w:val="24"/>
          <w:lang w:eastAsia="pl-PL"/>
        </w:rPr>
        <w:t>”.</w:t>
      </w:r>
    </w:p>
    <w:p w:rsidR="008D1733" w:rsidRPr="008D1733" w:rsidRDefault="008D1733" w:rsidP="00776495">
      <w:pPr>
        <w:numPr>
          <w:ilvl w:val="0"/>
          <w:numId w:val="10"/>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8D1733" w:rsidP="00776495">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dokumentacja projektowa</w:t>
      </w:r>
      <w:r w:rsidR="00466AE6">
        <w:rPr>
          <w:rFonts w:ascii="Arial" w:eastAsia="Times New Roman" w:hAnsi="Arial" w:cs="Arial"/>
          <w:sz w:val="20"/>
          <w:szCs w:val="20"/>
          <w:lang w:eastAsia="pl-PL"/>
        </w:rPr>
        <w:t xml:space="preserve"> i opis przedmiotu zamówienia</w:t>
      </w:r>
      <w:r w:rsidRPr="008D1733">
        <w:rPr>
          <w:rFonts w:ascii="Arial" w:eastAsia="Times New Roman" w:hAnsi="Arial" w:cs="Arial"/>
          <w:sz w:val="20"/>
          <w:szCs w:val="20"/>
          <w:lang w:eastAsia="pl-PL"/>
        </w:rPr>
        <w:t xml:space="preserve">, </w:t>
      </w:r>
    </w:p>
    <w:p w:rsidR="008D1733" w:rsidRPr="008D1733" w:rsidRDefault="002A7F59" w:rsidP="00776495">
      <w:pPr>
        <w:numPr>
          <w:ilvl w:val="0"/>
          <w:numId w:val="16"/>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Ustala się termin wykonania umowy: </w:t>
      </w:r>
      <w:r w:rsidRPr="00A715EC">
        <w:rPr>
          <w:rFonts w:ascii="Arial" w:eastAsia="Times New Roman" w:hAnsi="Arial" w:cs="Arial"/>
          <w:b/>
          <w:sz w:val="20"/>
          <w:szCs w:val="20"/>
          <w:lang w:eastAsia="pl-PL"/>
        </w:rPr>
        <w:t xml:space="preserve">do </w:t>
      </w:r>
      <w:r w:rsidR="002A7F59" w:rsidRPr="00A715EC">
        <w:rPr>
          <w:rFonts w:ascii="Arial" w:eastAsia="Times New Roman" w:hAnsi="Arial" w:cs="Arial"/>
          <w:b/>
          <w:sz w:val="20"/>
          <w:szCs w:val="20"/>
          <w:lang w:eastAsia="pl-PL"/>
        </w:rPr>
        <w:t>5 miesięcy od podpisania umowy.</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776495">
      <w:pPr>
        <w:numPr>
          <w:ilvl w:val="0"/>
          <w:numId w:val="17"/>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776495">
      <w:pPr>
        <w:numPr>
          <w:ilvl w:val="0"/>
          <w:numId w:val="17"/>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776495">
      <w:pPr>
        <w:numPr>
          <w:ilvl w:val="0"/>
          <w:numId w:val="17"/>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776495">
      <w:pPr>
        <w:numPr>
          <w:ilvl w:val="0"/>
          <w:numId w:val="17"/>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776495">
      <w:pPr>
        <w:numPr>
          <w:ilvl w:val="0"/>
          <w:numId w:val="9"/>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Pr="008D1733" w:rsidRDefault="008D1733" w:rsidP="00776495">
      <w:pPr>
        <w:numPr>
          <w:ilvl w:val="0"/>
          <w:numId w:val="9"/>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rsidR="008D1733" w:rsidRPr="008D1733" w:rsidRDefault="008D1733" w:rsidP="00776495">
      <w:pPr>
        <w:numPr>
          <w:ilvl w:val="0"/>
          <w:numId w:val="9"/>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budowy w terminie do 10 dni od dnia zawarcia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nadzoru autorskiego w przypadku zaistnienia takiej potrzeby.</w:t>
      </w:r>
    </w:p>
    <w:p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WYKONAWCY</w:t>
      </w:r>
    </w:p>
    <w:p w:rsidR="008D1733" w:rsidRPr="009B66B9"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Pr="009B66B9"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 – zgodnie z uzgodnieniami projektu, a w przypadku ich wygaśnięcia do ich ponownego uzgodnienia.</w:t>
      </w:r>
    </w:p>
    <w:p w:rsidR="002A7F59" w:rsidRPr="009B66B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Przygotowanie i wprowadzenie oraz uzgodnienie na własny koszt z zarządcami dróg, w tym GDDKiA, tymczasowego projektu organizacji ruchu na czas realizacji inwestycji.</w:t>
      </w:r>
    </w:p>
    <w:p w:rsidR="002A7F59" w:rsidRPr="009B66B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Przygotowanie i wprowadzenie oraz uzgodnienie na własny koszt z zarządcami dróg, w tym GDDKiA, stałego projektu organizacji ruchu (wzór POR znajduje się w dokumentacji postępowania).</w:t>
      </w:r>
    </w:p>
    <w:p w:rsidR="002A7F59" w:rsidRPr="002A7F59" w:rsidRDefault="002A7F59" w:rsidP="00776495">
      <w:pPr>
        <w:numPr>
          <w:ilvl w:val="0"/>
          <w:numId w:val="12"/>
        </w:numPr>
        <w:tabs>
          <w:tab w:val="num" w:pos="426"/>
        </w:tabs>
        <w:spacing w:after="0"/>
        <w:ind w:left="426" w:hanging="426"/>
        <w:jc w:val="both"/>
        <w:rPr>
          <w:rFonts w:ascii="Arial" w:hAnsi="Arial" w:cs="Arial"/>
          <w:sz w:val="20"/>
          <w:szCs w:val="20"/>
          <w:lang w:eastAsia="pl-PL"/>
        </w:rPr>
      </w:pPr>
      <w:r w:rsidRPr="002A7F59">
        <w:rPr>
          <w:rFonts w:ascii="Arial" w:eastAsia="Times New Roman" w:hAnsi="Arial" w:cs="Arial"/>
          <w:sz w:val="20"/>
          <w:szCs w:val="20"/>
          <w:lang w:eastAsia="pl-PL"/>
        </w:rPr>
        <w:lastRenderedPageBreak/>
        <w:t>Wykonawca uzyska z GDDKiA decyzję na prowadzenie robót w pasie drogowym.</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2A7F59">
        <w:rPr>
          <w:rFonts w:ascii="Arial" w:eastAsia="Times New Roman" w:hAnsi="Arial" w:cs="Arial"/>
          <w:sz w:val="20"/>
          <w:szCs w:val="20"/>
          <w:lang w:eastAsia="pl-PL"/>
        </w:rPr>
        <w:t>rzed rozpoczęciem prac wykona</w:t>
      </w:r>
      <w:r>
        <w:rPr>
          <w:rFonts w:ascii="Arial" w:eastAsia="Times New Roman" w:hAnsi="Arial" w:cs="Arial"/>
          <w:sz w:val="20"/>
          <w:szCs w:val="20"/>
          <w:lang w:eastAsia="pl-PL"/>
        </w:rPr>
        <w:t>nie dokumentacji</w:t>
      </w:r>
      <w:r w:rsidRPr="002A7F59">
        <w:rPr>
          <w:rFonts w:ascii="Arial" w:eastAsia="Times New Roman" w:hAnsi="Arial" w:cs="Arial"/>
          <w:sz w:val="20"/>
          <w:szCs w:val="20"/>
          <w:lang w:eastAsia="pl-PL"/>
        </w:rPr>
        <w:t xml:space="preserve"> fotograficzn</w:t>
      </w:r>
      <w:r>
        <w:rPr>
          <w:rFonts w:ascii="Arial" w:eastAsia="Times New Roman" w:hAnsi="Arial" w:cs="Arial"/>
          <w:sz w:val="20"/>
          <w:szCs w:val="20"/>
          <w:lang w:eastAsia="pl-PL"/>
        </w:rPr>
        <w:t>ej</w:t>
      </w:r>
      <w:r w:rsidRPr="002A7F59">
        <w:rPr>
          <w:rFonts w:ascii="Arial" w:eastAsia="Times New Roman" w:hAnsi="Arial" w:cs="Arial"/>
          <w:sz w:val="20"/>
          <w:szCs w:val="20"/>
          <w:lang w:eastAsia="pl-PL"/>
        </w:rPr>
        <w:t xml:space="preserve"> terenu, na którym będą realizow</w:t>
      </w:r>
      <w:r>
        <w:rPr>
          <w:rFonts w:ascii="Arial" w:eastAsia="Times New Roman" w:hAnsi="Arial" w:cs="Arial"/>
          <w:sz w:val="20"/>
          <w:szCs w:val="20"/>
          <w:lang w:eastAsia="pl-PL"/>
        </w:rPr>
        <w:t>ane roboty budowlane i dostarczenie jej</w:t>
      </w:r>
      <w:r w:rsidRPr="002A7F59">
        <w:rPr>
          <w:rFonts w:ascii="Arial" w:eastAsia="Times New Roman" w:hAnsi="Arial" w:cs="Arial"/>
          <w:sz w:val="20"/>
          <w:szCs w:val="20"/>
          <w:lang w:eastAsia="pl-PL"/>
        </w:rPr>
        <w:t xml:space="preserve"> na płycie CD lub DVD do Zamawiającego.</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Odgrodzenie i zabezpieczenie</w:t>
      </w:r>
      <w:r w:rsidRPr="002A7F59">
        <w:rPr>
          <w:rFonts w:ascii="Arial" w:eastAsia="Times New Roman" w:hAnsi="Arial" w:cs="Arial"/>
          <w:sz w:val="20"/>
          <w:szCs w:val="20"/>
          <w:lang w:eastAsia="pl-PL"/>
        </w:rPr>
        <w:t xml:space="preserve"> teren</w:t>
      </w:r>
      <w:r>
        <w:rPr>
          <w:rFonts w:ascii="Arial" w:eastAsia="Times New Roman" w:hAnsi="Arial" w:cs="Arial"/>
          <w:sz w:val="20"/>
          <w:szCs w:val="20"/>
          <w:lang w:eastAsia="pl-PL"/>
        </w:rPr>
        <w:t>u</w:t>
      </w:r>
      <w:r w:rsidRPr="002A7F59">
        <w:rPr>
          <w:rFonts w:ascii="Arial" w:eastAsia="Times New Roman" w:hAnsi="Arial" w:cs="Arial"/>
          <w:sz w:val="20"/>
          <w:szCs w:val="20"/>
          <w:lang w:eastAsia="pl-PL"/>
        </w:rPr>
        <w:t xml:space="preserve"> inwestycji od pozostałej części terenu żłobka </w:t>
      </w:r>
      <w:r w:rsidRPr="002A7F59">
        <w:rPr>
          <w:rFonts w:ascii="Arial" w:eastAsia="Times New Roman" w:hAnsi="Arial" w:cs="Arial"/>
          <w:sz w:val="20"/>
          <w:szCs w:val="20"/>
          <w:lang w:eastAsia="pl-PL"/>
        </w:rPr>
        <w:br/>
        <w:t>i przedszkola.</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2A7F59">
        <w:rPr>
          <w:rFonts w:ascii="Arial" w:eastAsia="Times New Roman" w:hAnsi="Arial" w:cs="Arial"/>
          <w:sz w:val="20"/>
          <w:szCs w:val="20"/>
          <w:lang w:eastAsia="pl-PL"/>
        </w:rPr>
        <w:t xml:space="preserve"> razie wys</w:t>
      </w:r>
      <w:r>
        <w:rPr>
          <w:rFonts w:ascii="Arial" w:eastAsia="Times New Roman" w:hAnsi="Arial" w:cs="Arial"/>
          <w:sz w:val="20"/>
          <w:szCs w:val="20"/>
          <w:lang w:eastAsia="pl-PL"/>
        </w:rPr>
        <w:t xml:space="preserve">tąpienia takiej potrzeby usunięcie </w:t>
      </w:r>
      <w:r w:rsidRPr="002A7F59">
        <w:rPr>
          <w:rFonts w:ascii="Arial" w:eastAsia="Times New Roman" w:hAnsi="Arial" w:cs="Arial"/>
          <w:sz w:val="20"/>
          <w:szCs w:val="20"/>
          <w:lang w:eastAsia="pl-PL"/>
        </w:rPr>
        <w:t>na wł</w:t>
      </w:r>
      <w:r>
        <w:rPr>
          <w:rFonts w:ascii="Arial" w:eastAsia="Times New Roman" w:hAnsi="Arial" w:cs="Arial"/>
          <w:sz w:val="20"/>
          <w:szCs w:val="20"/>
          <w:lang w:eastAsia="pl-PL"/>
        </w:rPr>
        <w:t>asny koszt odrostów</w:t>
      </w:r>
      <w:r w:rsidRPr="002A7F59">
        <w:rPr>
          <w:rFonts w:ascii="Arial" w:eastAsia="Times New Roman" w:hAnsi="Arial" w:cs="Arial"/>
          <w:sz w:val="20"/>
          <w:szCs w:val="20"/>
          <w:lang w:eastAsia="pl-PL"/>
        </w:rPr>
        <w:t xml:space="preserve"> i pni drzew oraz zakrzewienia, które będą kolidowały z inwestycją.</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2A7F59">
        <w:rPr>
          <w:rFonts w:ascii="Arial" w:eastAsia="Times New Roman" w:hAnsi="Arial" w:cs="Arial"/>
          <w:sz w:val="20"/>
          <w:szCs w:val="20"/>
          <w:lang w:eastAsia="pl-PL"/>
        </w:rPr>
        <w:t>o dnia 30 kwietnia 2021 roku dokona</w:t>
      </w:r>
      <w:r>
        <w:rPr>
          <w:rFonts w:ascii="Arial" w:eastAsia="Times New Roman" w:hAnsi="Arial" w:cs="Arial"/>
          <w:sz w:val="20"/>
          <w:szCs w:val="20"/>
          <w:lang w:eastAsia="pl-PL"/>
        </w:rPr>
        <w:t>nie</w:t>
      </w:r>
      <w:r w:rsidRPr="002A7F59">
        <w:rPr>
          <w:rFonts w:ascii="Arial" w:eastAsia="Times New Roman" w:hAnsi="Arial" w:cs="Arial"/>
          <w:sz w:val="20"/>
          <w:szCs w:val="20"/>
          <w:lang w:eastAsia="pl-PL"/>
        </w:rPr>
        <w:t xml:space="preserve"> wycinki 16 drzew – świerk pospolity, które kolidują z realizacją inwestycji.</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rejonie realizacji inwestycji prowadzone będą roboty budowlane związane z budową budynku żłobka. Wykonawca musi uzgodnić z firmą realizującą inwestycję budowy żłobka skoordynowanie prac (dotyczy to w szczególności infrastruktury podziemnej).</w:t>
      </w:r>
    </w:p>
    <w:p w:rsid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Ponoszenie pełnej odpowiedzialności za teren budowy i bezpieczeństwo na jego terenie/obszarze od chwili przejęcia placu budowy.</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Prowadzenie robót</w:t>
      </w:r>
      <w:r w:rsidRPr="002A7F59">
        <w:rPr>
          <w:rFonts w:ascii="Arial" w:eastAsia="Times New Roman" w:hAnsi="Arial" w:cs="Arial"/>
          <w:sz w:val="20"/>
          <w:szCs w:val="20"/>
          <w:lang w:eastAsia="pl-PL"/>
        </w:rPr>
        <w:t xml:space="preserve"> w taki sposób, aby umożliwić dojście do budynku przedszkola.</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Wykonanie nawierzchni</w:t>
      </w:r>
      <w:r w:rsidRPr="002A7F59">
        <w:rPr>
          <w:rFonts w:ascii="Arial" w:eastAsia="Times New Roman" w:hAnsi="Arial" w:cs="Arial"/>
          <w:sz w:val="20"/>
          <w:szCs w:val="20"/>
          <w:lang w:eastAsia="pl-PL"/>
        </w:rPr>
        <w:t xml:space="preserve"> skrzyżowania i jezdni z kostki brukowej betonowej typu </w:t>
      </w:r>
      <w:proofErr w:type="spellStart"/>
      <w:r w:rsidRPr="002A7F59">
        <w:rPr>
          <w:rFonts w:ascii="Arial" w:eastAsia="Times New Roman" w:hAnsi="Arial" w:cs="Arial"/>
          <w:sz w:val="20"/>
          <w:szCs w:val="20"/>
          <w:lang w:eastAsia="pl-PL"/>
        </w:rPr>
        <w:t>starobruk</w:t>
      </w:r>
      <w:proofErr w:type="spellEnd"/>
      <w:r w:rsidRPr="002A7F59">
        <w:rPr>
          <w:rFonts w:ascii="Arial" w:eastAsia="Times New Roman" w:hAnsi="Arial" w:cs="Arial"/>
          <w:sz w:val="20"/>
          <w:szCs w:val="20"/>
          <w:lang w:eastAsia="pl-PL"/>
        </w:rPr>
        <w:t xml:space="preserve"> gr. 8 cm koloru grafitowego. </w:t>
      </w:r>
      <w:r>
        <w:rPr>
          <w:rFonts w:ascii="Arial" w:eastAsia="Times New Roman" w:hAnsi="Arial" w:cs="Arial"/>
          <w:sz w:val="20"/>
          <w:szCs w:val="20"/>
          <w:lang w:eastAsia="pl-PL"/>
        </w:rPr>
        <w:t>Natomiast n</w:t>
      </w:r>
      <w:r w:rsidRPr="002A7F59">
        <w:rPr>
          <w:rFonts w:ascii="Arial" w:eastAsia="Times New Roman" w:hAnsi="Arial" w:cs="Arial"/>
          <w:sz w:val="20"/>
          <w:szCs w:val="20"/>
          <w:lang w:eastAsia="pl-PL"/>
        </w:rPr>
        <w:t xml:space="preserve">awierzchnię miejsc postojowych należy wykonać z płyt </w:t>
      </w:r>
      <w:proofErr w:type="spellStart"/>
      <w:r w:rsidRPr="002A7F59">
        <w:rPr>
          <w:rFonts w:ascii="Arial" w:eastAsia="Times New Roman" w:hAnsi="Arial" w:cs="Arial"/>
          <w:sz w:val="20"/>
          <w:szCs w:val="20"/>
          <w:lang w:eastAsia="pl-PL"/>
        </w:rPr>
        <w:t>meba</w:t>
      </w:r>
      <w:proofErr w:type="spellEnd"/>
      <w:r w:rsidRPr="002A7F59">
        <w:rPr>
          <w:rFonts w:ascii="Arial" w:eastAsia="Times New Roman" w:hAnsi="Arial" w:cs="Arial"/>
          <w:sz w:val="20"/>
          <w:szCs w:val="20"/>
          <w:lang w:eastAsia="pl-PL"/>
        </w:rPr>
        <w:t xml:space="preserve"> gr. 12 cm kolor czerwony, poszczególne miejsca postojowe rozdzielić pasem z kostki brukowej betonowej typu </w:t>
      </w:r>
      <w:proofErr w:type="spellStart"/>
      <w:r w:rsidRPr="002A7F59">
        <w:rPr>
          <w:rFonts w:ascii="Arial" w:eastAsia="Times New Roman" w:hAnsi="Arial" w:cs="Arial"/>
          <w:sz w:val="20"/>
          <w:szCs w:val="20"/>
          <w:lang w:eastAsia="pl-PL"/>
        </w:rPr>
        <w:t>starobruk</w:t>
      </w:r>
      <w:proofErr w:type="spellEnd"/>
      <w:r w:rsidRPr="002A7F59">
        <w:rPr>
          <w:rFonts w:ascii="Arial" w:eastAsia="Times New Roman" w:hAnsi="Arial" w:cs="Arial"/>
          <w:sz w:val="20"/>
          <w:szCs w:val="20"/>
          <w:lang w:eastAsia="pl-PL"/>
        </w:rPr>
        <w:t xml:space="preserve"> gr. 8 cm kolor grafitowy.</w:t>
      </w:r>
    </w:p>
    <w:p w:rsidR="008D1733" w:rsidRPr="00E35A3F"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E35A3F">
        <w:rPr>
          <w:rFonts w:ascii="Arial" w:eastAsia="Times New Roman" w:hAnsi="Arial" w:cs="Arial"/>
          <w:sz w:val="20"/>
          <w:szCs w:val="20"/>
          <w:lang w:eastAsia="pl-PL"/>
        </w:rPr>
        <w:t xml:space="preserve">Wykonanie robót budowlanych w zakresie: </w:t>
      </w:r>
      <w:r w:rsidR="009362CD" w:rsidRPr="00E35A3F">
        <w:rPr>
          <w:rFonts w:ascii="Arial" w:eastAsia="Times New Roman" w:hAnsi="Arial" w:cs="Arial"/>
          <w:sz w:val="20"/>
          <w:szCs w:val="20"/>
          <w:lang w:eastAsia="pl-PL"/>
        </w:rPr>
        <w:t xml:space="preserve">wykonania robót </w:t>
      </w:r>
      <w:r w:rsidR="002A7F59">
        <w:rPr>
          <w:rFonts w:ascii="Arial" w:eastAsia="Times New Roman" w:hAnsi="Arial" w:cs="Arial"/>
          <w:sz w:val="20"/>
          <w:szCs w:val="20"/>
          <w:lang w:eastAsia="pl-PL"/>
        </w:rPr>
        <w:t>rozbiórkowych</w:t>
      </w:r>
      <w:r w:rsidR="009362CD" w:rsidRPr="00E35A3F">
        <w:rPr>
          <w:rFonts w:ascii="Arial" w:eastAsia="Times New Roman" w:hAnsi="Arial" w:cs="Arial"/>
          <w:sz w:val="20"/>
          <w:szCs w:val="20"/>
          <w:lang w:eastAsia="pl-PL"/>
        </w:rPr>
        <w:t xml:space="preserve">, robót ziemnych, wykonanie podbudów, </w:t>
      </w:r>
      <w:r w:rsidR="002A7F59">
        <w:rPr>
          <w:rFonts w:ascii="Arial" w:eastAsia="Times New Roman" w:hAnsi="Arial" w:cs="Arial"/>
          <w:sz w:val="20"/>
          <w:szCs w:val="20"/>
          <w:lang w:eastAsia="pl-PL"/>
        </w:rPr>
        <w:t xml:space="preserve">wykonanie </w:t>
      </w:r>
      <w:r w:rsidR="009362CD" w:rsidRPr="00E35A3F">
        <w:rPr>
          <w:rFonts w:ascii="Arial" w:eastAsia="Times New Roman" w:hAnsi="Arial" w:cs="Arial"/>
          <w:sz w:val="20"/>
          <w:szCs w:val="20"/>
          <w:lang w:eastAsia="pl-PL"/>
        </w:rPr>
        <w:t xml:space="preserve">prac związanych z obsługą koparki i innych maszyn, pojazdów wykorzystywanych podczas budowy, </w:t>
      </w:r>
      <w:r w:rsidR="002A7F59">
        <w:rPr>
          <w:rFonts w:ascii="Arial" w:eastAsia="Times New Roman" w:hAnsi="Arial" w:cs="Arial"/>
          <w:sz w:val="20"/>
          <w:szCs w:val="20"/>
          <w:lang w:eastAsia="pl-PL"/>
        </w:rPr>
        <w:t>układanie nawierzchni betonowych, montaż oznakowania drogowego, wykonywanie robót związanych z zagospodarowaniem terenu</w:t>
      </w:r>
      <w:r w:rsidRPr="00E35A3F">
        <w:rPr>
          <w:rFonts w:ascii="Arial" w:eastAsia="Times New Roman" w:hAnsi="Arial" w:cs="Arial"/>
          <w:sz w:val="20"/>
          <w:szCs w:val="20"/>
          <w:lang w:eastAsia="pl-PL"/>
        </w:rPr>
        <w:t>, przez osoby zatrudnione na umowę o pracę w rozumieniu przepisów ustawy z dnia 26 czerwca 1974 r. – Kodeks pracy u Wykonawcy/Podwykonawcy.</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ynności, o których mowa w ust. 14</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776495">
      <w:pPr>
        <w:numPr>
          <w:ilvl w:val="0"/>
          <w:numId w:val="18"/>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776495">
      <w:pPr>
        <w:numPr>
          <w:ilvl w:val="0"/>
          <w:numId w:val="18"/>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776495">
      <w:pPr>
        <w:numPr>
          <w:ilvl w:val="0"/>
          <w:numId w:val="18"/>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776495">
      <w:pPr>
        <w:numPr>
          <w:ilvl w:val="0"/>
          <w:numId w:val="18"/>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Pr>
          <w:rFonts w:ascii="Arial" w:eastAsia="Times New Roman" w:hAnsi="Arial" w:cs="Arial"/>
          <w:sz w:val="20"/>
          <w:szCs w:val="20"/>
          <w:lang w:eastAsia="pl-PL"/>
        </w:rPr>
        <w:t>mowa w ust. 15</w:t>
      </w:r>
      <w:r w:rsidRPr="002A7F59">
        <w:rPr>
          <w:rFonts w:ascii="Arial" w:eastAsia="Times New Roman" w:hAnsi="Arial" w:cs="Arial"/>
          <w:sz w:val="20"/>
          <w:szCs w:val="20"/>
          <w:lang w:eastAsia="pl-PL"/>
        </w:rPr>
        <w:t xml:space="preserve"> umowy.</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dokument, o którym mowa w ust. 15</w:t>
      </w:r>
      <w:r w:rsidRPr="002A7F59">
        <w:rPr>
          <w:rFonts w:ascii="Arial" w:eastAsia="Times New Roman" w:hAnsi="Arial" w:cs="Arial"/>
          <w:sz w:val="20"/>
          <w:szCs w:val="20"/>
          <w:lang w:eastAsia="pl-PL"/>
        </w:rPr>
        <w:t xml:space="preserve"> umowy.</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9B66B9"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Regulacja zasuw, zaworów, studni itp. w uzgodnieniu z Zakładem Usług Komunalnych  </w:t>
      </w:r>
      <w:r w:rsidRPr="009B66B9">
        <w:rPr>
          <w:rFonts w:ascii="Arial" w:eastAsia="Times New Roman" w:hAnsi="Arial" w:cs="Arial"/>
          <w:sz w:val="20"/>
          <w:szCs w:val="20"/>
          <w:lang w:eastAsia="pl-PL"/>
        </w:rPr>
        <w:br/>
        <w:t>Sp. z o.o., o ich lokalizacji, bez odrębnego wynagrodzenia.</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Umożliwienie wstępu na teren budowy pracownikom organu nadzoru budowlanego i jednostek sprawujących funkcje kontrolne oraz upoważnionym przedstawicielom  Zamawiającego.</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Zorganizowanie i przeprowadzenie prób, badań, odbiorów i rozruchów niezbędnych </w:t>
      </w:r>
      <w:r w:rsidRPr="008D1733">
        <w:rPr>
          <w:rFonts w:ascii="Arial" w:eastAsia="Times New Roman" w:hAnsi="Arial" w:cs="Arial"/>
          <w:sz w:val="20"/>
          <w:szCs w:val="20"/>
          <w:lang w:eastAsia="pl-PL"/>
        </w:rPr>
        <w:br/>
        <w:t xml:space="preserve">do skompletowania dokumentacji odbiorowej.  </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uszkodzonych przez Wykonawców zinwentaryzowanych urządzeń uzbrojenia podziemnego, bez odrębnego wynagrodzenia.</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rsidR="00A715EC" w:rsidRPr="007A58B5" w:rsidRDefault="00A715EC"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Przywrócenie do stanu pierwotnego terenu żłobka i przedszkola, który zostanie uszkodzony w czasie prowadzonych robót budowlanych.</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776495">
      <w:pPr>
        <w:numPr>
          <w:ilvl w:val="0"/>
          <w:numId w:val="13"/>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776495">
      <w:pPr>
        <w:numPr>
          <w:ilvl w:val="0"/>
          <w:numId w:val="13"/>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776495">
      <w:pPr>
        <w:numPr>
          <w:ilvl w:val="0"/>
          <w:numId w:val="38"/>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776495">
      <w:pPr>
        <w:numPr>
          <w:ilvl w:val="0"/>
          <w:numId w:val="38"/>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776495">
      <w:pPr>
        <w:numPr>
          <w:ilvl w:val="0"/>
          <w:numId w:val="13"/>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Na materiały, które Wykonawca zamierza wbudować, należy przedstawić do zatwierdzenia wnioski materiałowe z załączonymi atestami, deklaracjami, aprobatami technicznymi itp. zgodnie 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A715EC">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Termin zapłaty wynagrodzenia Podwykonawcy lub dalszemu Podwykonawcy przewidziany w umowie o podwykonawstwo nie może być dłuższy niż 30 dni od dnia doręczenia Wykonawcy, Podwykonawcy </w:t>
      </w:r>
      <w:r w:rsidRPr="00A715EC">
        <w:rPr>
          <w:rFonts w:ascii="Arial" w:eastAsia="Times New Roman" w:hAnsi="Arial" w:cs="Arial"/>
          <w:sz w:val="20"/>
          <w:szCs w:val="20"/>
          <w:lang w:eastAsia="pl-PL"/>
        </w:rPr>
        <w:lastRenderedPageBreak/>
        <w:t>lub dalszemu Podwykonawcy faktury lub rachunku.</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A715EC" w:rsidRPr="004A746A"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jest odpowiedzialny wobec Zamawiającego oraz osób trzecich za działania, zaniechanie działania, uchybienia i zaniedbania Podwykonawców w takim samym stopniu, jakby to były działania, </w:t>
      </w:r>
      <w:r w:rsidRPr="00A715EC">
        <w:rPr>
          <w:rFonts w:ascii="Arial" w:eastAsia="Times New Roman" w:hAnsi="Arial" w:cs="Arial"/>
          <w:sz w:val="20"/>
          <w:szCs w:val="20"/>
          <w:lang w:eastAsia="pl-PL"/>
        </w:rPr>
        <w:lastRenderedPageBreak/>
        <w:t>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776495">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776495">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ryczałtowe, o którym mowa w ust 1. obejmuje wszystkie koszty związane z realizacją robót objętych dokumentacją projektową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776495">
      <w:pPr>
        <w:numPr>
          <w:ilvl w:val="0"/>
          <w:numId w:val="8"/>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8D1733" w:rsidRPr="008D1733" w:rsidRDefault="008D1733" w:rsidP="00776495">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776495">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776495">
      <w:pPr>
        <w:numPr>
          <w:ilvl w:val="0"/>
          <w:numId w:val="8"/>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776495">
      <w:pPr>
        <w:numPr>
          <w:ilvl w:val="0"/>
          <w:numId w:val="8"/>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776495">
      <w:pPr>
        <w:widowControl w:val="0"/>
        <w:numPr>
          <w:ilvl w:val="0"/>
          <w:numId w:val="31"/>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776495">
      <w:pPr>
        <w:widowControl w:val="0"/>
        <w:numPr>
          <w:ilvl w:val="0"/>
          <w:numId w:val="31"/>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A715EC" w:rsidRPr="00A715EC" w:rsidRDefault="00A715EC" w:rsidP="00A715EC">
      <w:pPr>
        <w:numPr>
          <w:ilvl w:val="0"/>
          <w:numId w:val="20"/>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715EC" w:rsidRDefault="00A715EC" w:rsidP="00A715EC">
      <w:pPr>
        <w:numPr>
          <w:ilvl w:val="0"/>
          <w:numId w:val="20"/>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w:t>
      </w:r>
      <w:r w:rsidRPr="00A715EC">
        <w:rPr>
          <w:rFonts w:ascii="Arial" w:eastAsia="Times New Roman" w:hAnsi="Arial" w:cs="Arial"/>
          <w:sz w:val="20"/>
          <w:szCs w:val="20"/>
          <w:lang w:eastAsia="pl-PL"/>
        </w:rPr>
        <w:lastRenderedPageBreak/>
        <w:t xml:space="preserve">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rsidR="008D1733" w:rsidRPr="008D1733" w:rsidRDefault="008D1733" w:rsidP="00776495">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rsidR="00EC6B48" w:rsidRPr="00EC6B48" w:rsidRDefault="00EC6B48" w:rsidP="00776495">
      <w:pPr>
        <w:numPr>
          <w:ilvl w:val="0"/>
          <w:numId w:val="21"/>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rsidR="00EC6B48" w:rsidRPr="00EC6B48" w:rsidRDefault="00EC6B48" w:rsidP="00776495">
      <w:pPr>
        <w:numPr>
          <w:ilvl w:val="0"/>
          <w:numId w:val="21"/>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odbiór końcowy.</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winien zgłaszać gotowość do odbiorów, o których mowa wyżej, wpisem do Dziennika Budowy.</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Zamawiającemu gotowość do odbioru końcowego pisemnie, wpisem do Dziennika Budowy, pod warunkiem potwierdzenia gotowości do odbioru robót podpisanego przez Kierownika Budowy i Inspektora Nadzoru Inwestorskiego.</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rsidR="008D1733" w:rsidRPr="009B66B9"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9B66B9">
        <w:rPr>
          <w:rFonts w:ascii="Arial" w:eastAsia="Times New Roman" w:hAnsi="Arial" w:cs="Arial"/>
          <w:sz w:val="20"/>
          <w:szCs w:val="20"/>
          <w:lang w:eastAsia="pl-PL"/>
        </w:rPr>
        <w:t xml:space="preserve">obu stron. </w:t>
      </w:r>
    </w:p>
    <w:p w:rsidR="008D1733" w:rsidRPr="009B66B9" w:rsidRDefault="008D1733" w:rsidP="00776495">
      <w:pPr>
        <w:numPr>
          <w:ilvl w:val="0"/>
          <w:numId w:val="14"/>
        </w:numPr>
        <w:tabs>
          <w:tab w:val="num" w:pos="644"/>
        </w:tabs>
        <w:spacing w:after="0"/>
        <w:jc w:val="both"/>
        <w:rPr>
          <w:rFonts w:ascii="Arial" w:eastAsia="Times New Roman" w:hAnsi="Arial" w:cs="Arial"/>
          <w:sz w:val="20"/>
          <w:szCs w:val="20"/>
          <w:u w:val="single"/>
          <w:lang w:eastAsia="pl-PL"/>
        </w:rPr>
      </w:pPr>
      <w:r w:rsidRPr="009B66B9">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8D1733" w:rsidRPr="009B66B9" w:rsidRDefault="008D1733" w:rsidP="00776495">
      <w:pPr>
        <w:numPr>
          <w:ilvl w:val="0"/>
          <w:numId w:val="23"/>
        </w:numPr>
        <w:spacing w:after="0"/>
        <w:ind w:left="851" w:hanging="425"/>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oświadczenie kierownika budowy, że budowa została wykonana zgodnie z obowiązującymi warunkami technicznymi, projektami budowlanymi oraz warunkami</w:t>
      </w:r>
      <w:r w:rsidR="009B66B9" w:rsidRPr="009B66B9">
        <w:rPr>
          <w:rFonts w:ascii="Arial" w:eastAsia="Times New Roman" w:hAnsi="Arial" w:cs="Arial"/>
          <w:sz w:val="20"/>
          <w:szCs w:val="20"/>
          <w:lang w:eastAsia="pl-PL"/>
        </w:rPr>
        <w:t xml:space="preserve"> </w:t>
      </w:r>
      <w:r w:rsidR="00597C44" w:rsidRPr="009B66B9">
        <w:rPr>
          <w:rFonts w:ascii="Arial" w:eastAsia="Times New Roman" w:hAnsi="Arial" w:cs="Arial"/>
          <w:sz w:val="20"/>
          <w:szCs w:val="20"/>
          <w:lang w:eastAsia="pl-PL"/>
        </w:rPr>
        <w:t>decyzji o zezwoleniu na realizację inwestycji drogowej</w:t>
      </w:r>
      <w:r w:rsidRPr="009B66B9">
        <w:rPr>
          <w:rFonts w:ascii="Arial" w:eastAsia="Times New Roman" w:hAnsi="Arial" w:cs="Arial"/>
          <w:sz w:val="20"/>
          <w:szCs w:val="20"/>
          <w:lang w:eastAsia="pl-PL"/>
        </w:rPr>
        <w:t>,</w:t>
      </w:r>
    </w:p>
    <w:p w:rsidR="00DE2C7B" w:rsidRPr="009B66B9" w:rsidRDefault="00FE5E79" w:rsidP="00776495">
      <w:pPr>
        <w:numPr>
          <w:ilvl w:val="0"/>
          <w:numId w:val="23"/>
        </w:numPr>
        <w:spacing w:after="0"/>
        <w:ind w:left="851" w:hanging="425"/>
        <w:jc w:val="both"/>
        <w:rPr>
          <w:rFonts w:ascii="Arial" w:eastAsia="Times New Roman" w:hAnsi="Arial" w:cs="Arial"/>
          <w:sz w:val="20"/>
          <w:szCs w:val="20"/>
          <w:lang w:eastAsia="pl-PL"/>
        </w:rPr>
      </w:pPr>
      <w:bookmarkStart w:id="0" w:name="_Hlk41395296"/>
      <w:r w:rsidRPr="009B66B9">
        <w:rPr>
          <w:rFonts w:ascii="Arial" w:eastAsia="Times New Roman" w:hAnsi="Arial" w:cs="Arial"/>
          <w:sz w:val="20"/>
          <w:szCs w:val="20"/>
          <w:lang w:eastAsia="pl-PL"/>
        </w:rPr>
        <w:t>d</w:t>
      </w:r>
      <w:r w:rsidR="00DE2C7B" w:rsidRPr="009B66B9">
        <w:rPr>
          <w:rFonts w:ascii="Arial" w:eastAsia="Times New Roman" w:hAnsi="Arial" w:cs="Arial"/>
          <w:sz w:val="20"/>
          <w:szCs w:val="20"/>
          <w:lang w:eastAsia="pl-PL"/>
        </w:rPr>
        <w:t xml:space="preserve">ziennik </w:t>
      </w:r>
      <w:r w:rsidRPr="009B66B9">
        <w:rPr>
          <w:rFonts w:ascii="Arial" w:eastAsia="Times New Roman" w:hAnsi="Arial" w:cs="Arial"/>
          <w:sz w:val="20"/>
          <w:szCs w:val="20"/>
          <w:lang w:eastAsia="pl-PL"/>
        </w:rPr>
        <w:t>b</w:t>
      </w:r>
      <w:r w:rsidR="00DE2C7B" w:rsidRPr="009B66B9">
        <w:rPr>
          <w:rFonts w:ascii="Arial" w:eastAsia="Times New Roman" w:hAnsi="Arial" w:cs="Arial"/>
          <w:sz w:val="20"/>
          <w:szCs w:val="20"/>
          <w:lang w:eastAsia="pl-PL"/>
        </w:rPr>
        <w:t>udowy,</w:t>
      </w:r>
      <w:bookmarkEnd w:id="0"/>
    </w:p>
    <w:p w:rsidR="008D1733" w:rsidRPr="008D1733" w:rsidRDefault="008D1733" w:rsidP="00776495">
      <w:pPr>
        <w:numPr>
          <w:ilvl w:val="0"/>
          <w:numId w:val="23"/>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projekt powykonawczy lub zamienny o ile zajdzie taka potrzeba, wykonany przez autora realizowanego projektu lub z nim uzgodniony,</w:t>
      </w:r>
    </w:p>
    <w:p w:rsidR="00DE2C7B" w:rsidRDefault="00DE2C7B" w:rsidP="00776495">
      <w:pPr>
        <w:numPr>
          <w:ilvl w:val="0"/>
          <w:numId w:val="23"/>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atesty, </w:t>
      </w:r>
      <w:r w:rsidRPr="00DE2C7B">
        <w:rPr>
          <w:rFonts w:ascii="Arial" w:eastAsia="Times New Roman" w:hAnsi="Arial" w:cs="Arial"/>
          <w:sz w:val="20"/>
          <w:szCs w:val="20"/>
          <w:lang w:eastAsia="pl-PL"/>
        </w:rPr>
        <w:t>deklaracje</w:t>
      </w:r>
      <w:r>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aprobaty i certyfikaty na wbudowane materiały i urządzenia,</w:t>
      </w:r>
    </w:p>
    <w:p w:rsidR="007F4803" w:rsidRDefault="007F4803" w:rsidP="00776495">
      <w:pPr>
        <w:numPr>
          <w:ilvl w:val="0"/>
          <w:numId w:val="23"/>
        </w:numPr>
        <w:spacing w:after="0"/>
        <w:ind w:left="851" w:hanging="425"/>
        <w:jc w:val="both"/>
        <w:rPr>
          <w:rFonts w:ascii="Arial" w:eastAsia="Times New Roman" w:hAnsi="Arial" w:cs="Arial"/>
          <w:sz w:val="20"/>
          <w:szCs w:val="20"/>
          <w:lang w:eastAsia="pl-PL"/>
        </w:rPr>
      </w:pPr>
      <w:r w:rsidRPr="007F4803">
        <w:rPr>
          <w:rFonts w:ascii="Arial" w:eastAsia="Times New Roman" w:hAnsi="Arial" w:cs="Arial"/>
          <w:sz w:val="20"/>
          <w:szCs w:val="20"/>
          <w:lang w:eastAsia="pl-PL"/>
        </w:rPr>
        <w:t>protokół potwierdzający poprawność wykonania regulacji studni i zaworów wystawiony</w:t>
      </w:r>
      <w:r>
        <w:rPr>
          <w:rFonts w:ascii="Arial" w:eastAsia="Times New Roman" w:hAnsi="Arial" w:cs="Arial"/>
          <w:sz w:val="20"/>
          <w:szCs w:val="20"/>
          <w:lang w:eastAsia="pl-PL"/>
        </w:rPr>
        <w:t xml:space="preserve"> przez ZUK Sp. z o.o. w Czersku,</w:t>
      </w:r>
    </w:p>
    <w:p w:rsidR="008D1733" w:rsidRPr="009B66B9" w:rsidRDefault="004F20F4" w:rsidP="009B66B9">
      <w:pPr>
        <w:numPr>
          <w:ilvl w:val="0"/>
          <w:numId w:val="23"/>
        </w:numPr>
        <w:spacing w:after="0"/>
        <w:ind w:left="851" w:hanging="425"/>
        <w:jc w:val="both"/>
        <w:rPr>
          <w:rFonts w:ascii="Arial" w:eastAsia="Times New Roman" w:hAnsi="Arial" w:cs="Arial"/>
          <w:sz w:val="20"/>
          <w:szCs w:val="20"/>
          <w:lang w:eastAsia="pl-PL"/>
        </w:rPr>
      </w:pPr>
      <w:r w:rsidRPr="00D06387">
        <w:rPr>
          <w:rFonts w:ascii="Arial" w:eastAsiaTheme="minorHAnsi" w:hAnsi="Arial" w:cs="Arial"/>
          <w:sz w:val="20"/>
          <w:szCs w:val="20"/>
        </w:rPr>
        <w:t>dokumenty z przeprowadzonych badań, sprawdzeń podłoża i warstw podbudowy robót zgodnie z SST.</w:t>
      </w:r>
    </w:p>
    <w:p w:rsidR="00D06387" w:rsidRPr="007F4803" w:rsidRDefault="00D06387" w:rsidP="00776495">
      <w:pPr>
        <w:numPr>
          <w:ilvl w:val="0"/>
          <w:numId w:val="23"/>
        </w:numPr>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inne wymagane SST protokoły, sprawdzenia,</w:t>
      </w:r>
    </w:p>
    <w:p w:rsidR="008D1733" w:rsidRPr="008D1733" w:rsidRDefault="008D1733" w:rsidP="00776495">
      <w:pPr>
        <w:numPr>
          <w:ilvl w:val="0"/>
          <w:numId w:val="23"/>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inwentaryzację geodezyjną w 3 </w:t>
      </w:r>
      <w:r w:rsidR="0047356B">
        <w:rPr>
          <w:rFonts w:ascii="Arial" w:eastAsia="Times New Roman" w:hAnsi="Arial" w:cs="Arial"/>
          <w:sz w:val="20"/>
          <w:szCs w:val="20"/>
          <w:lang w:eastAsia="pl-PL"/>
        </w:rPr>
        <w:t>egzemplarzach</w:t>
      </w:r>
      <w:r w:rsidRPr="008D1733">
        <w:rPr>
          <w:rFonts w:ascii="Arial" w:eastAsia="Times New Roman" w:hAnsi="Arial" w:cs="Arial"/>
          <w:sz w:val="20"/>
          <w:szCs w:val="20"/>
          <w:lang w:eastAsia="pl-PL"/>
        </w:rPr>
        <w:t xml:space="preserve"> w tym: 1 oryginał poświadczony przez Starostwo Powiatowe w Chojnicach Wydział Geodezji, Powiatowy Oś</w:t>
      </w:r>
      <w:r w:rsidR="0047356B">
        <w:rPr>
          <w:rFonts w:ascii="Arial" w:eastAsia="Times New Roman" w:hAnsi="Arial" w:cs="Arial"/>
          <w:sz w:val="20"/>
          <w:szCs w:val="20"/>
          <w:lang w:eastAsia="pl-PL"/>
        </w:rPr>
        <w:t xml:space="preserve">rodek Dokumentacji Geodezyjnej </w:t>
      </w:r>
      <w:r w:rsidRPr="008D1733">
        <w:rPr>
          <w:rFonts w:ascii="Arial" w:eastAsia="Times New Roman" w:hAnsi="Arial" w:cs="Arial"/>
          <w:sz w:val="20"/>
          <w:szCs w:val="20"/>
          <w:lang w:eastAsia="pl-PL"/>
        </w:rPr>
        <w:t>i Kartograficznej oraz 2 kopie potwierdzone za zgodn</w:t>
      </w:r>
      <w:r w:rsidR="0047356B">
        <w:rPr>
          <w:rFonts w:ascii="Arial" w:eastAsia="Times New Roman" w:hAnsi="Arial" w:cs="Arial"/>
          <w:sz w:val="20"/>
          <w:szCs w:val="20"/>
          <w:lang w:eastAsia="pl-PL"/>
        </w:rPr>
        <w:t xml:space="preserve">ość z oryginałem przez geodetę </w:t>
      </w:r>
      <w:r w:rsidRPr="008D1733">
        <w:rPr>
          <w:rFonts w:ascii="Arial" w:eastAsia="Times New Roman" w:hAnsi="Arial" w:cs="Arial"/>
          <w:sz w:val="20"/>
          <w:szCs w:val="20"/>
          <w:lang w:eastAsia="pl-PL"/>
        </w:rPr>
        <w:t>wraz z zestawieniem zakresu robót obejmującym: rodzaj materiałów, długości, średnice rurociągów itp. (Powyższe dokumenty winny być złożone w skoroszycie formatu A4 ze spisem treści i ponumerowane).</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rsidR="007A58B5" w:rsidRPr="00DE2C7B"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140949">
      <w:pPr>
        <w:numPr>
          <w:ilvl w:val="0"/>
          <w:numId w:val="7"/>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776495">
      <w:pPr>
        <w:numPr>
          <w:ilvl w:val="0"/>
          <w:numId w:val="32"/>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776495">
      <w:pPr>
        <w:numPr>
          <w:ilvl w:val="0"/>
          <w:numId w:val="33"/>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776495">
      <w:pPr>
        <w:numPr>
          <w:ilvl w:val="0"/>
          <w:numId w:val="33"/>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776495">
      <w:pPr>
        <w:numPr>
          <w:ilvl w:val="0"/>
          <w:numId w:val="32"/>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776495">
      <w:pPr>
        <w:numPr>
          <w:ilvl w:val="0"/>
          <w:numId w:val="34"/>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776495">
      <w:pPr>
        <w:numPr>
          <w:ilvl w:val="0"/>
          <w:numId w:val="34"/>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140949">
      <w:pPr>
        <w:numPr>
          <w:ilvl w:val="0"/>
          <w:numId w:val="7"/>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140949">
      <w:pPr>
        <w:numPr>
          <w:ilvl w:val="0"/>
          <w:numId w:val="7"/>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140949">
      <w:pPr>
        <w:numPr>
          <w:ilvl w:val="0"/>
          <w:numId w:val="7"/>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776495">
      <w:pPr>
        <w:numPr>
          <w:ilvl w:val="0"/>
          <w:numId w:val="35"/>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776495">
      <w:pPr>
        <w:numPr>
          <w:ilvl w:val="0"/>
          <w:numId w:val="35"/>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776495">
      <w:pPr>
        <w:numPr>
          <w:ilvl w:val="0"/>
          <w:numId w:val="35"/>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w:t>
      </w:r>
      <w:r w:rsidR="00D06387">
        <w:rPr>
          <w:rFonts w:ascii="Arial" w:eastAsia="Times New Roman" w:hAnsi="Arial" w:cs="Arial"/>
          <w:sz w:val="20"/>
          <w:szCs w:val="20"/>
          <w:lang w:eastAsia="pl-PL"/>
        </w:rPr>
        <w:t>kreślonego w paragrafie 6 ust. 7</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D06387">
        <w:rPr>
          <w:rFonts w:ascii="Arial" w:eastAsia="Times New Roman" w:hAnsi="Arial" w:cs="Arial"/>
          <w:sz w:val="20"/>
          <w:szCs w:val="20"/>
          <w:lang w:eastAsia="pl-PL"/>
        </w:rPr>
        <w:t>8</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D06387">
        <w:rPr>
          <w:rFonts w:ascii="Arial" w:eastAsia="Times New Roman" w:hAnsi="Arial" w:cs="Arial"/>
          <w:sz w:val="20"/>
          <w:szCs w:val="20"/>
          <w:lang w:eastAsia="pl-PL"/>
        </w:rPr>
        <w:t>9</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określonego w paragrafie 6 ust. 1</w:t>
      </w:r>
      <w:r w:rsidR="00D06387">
        <w:rPr>
          <w:rFonts w:ascii="Arial" w:eastAsia="Times New Roman" w:hAnsi="Arial" w:cs="Arial"/>
          <w:sz w:val="20"/>
          <w:szCs w:val="20"/>
          <w:lang w:eastAsia="pl-PL"/>
        </w:rPr>
        <w:t>0</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145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Maksymalną łączną wysokość kar umownych strony ustalają na kwotę równą wynagrodzeniu ryczałtowemu brutto.</w:t>
      </w:r>
    </w:p>
    <w:p w:rsidR="00046C7F" w:rsidRDefault="00046C7F" w:rsidP="008D1733">
      <w:pPr>
        <w:spacing w:after="0"/>
        <w:jc w:val="center"/>
        <w:rPr>
          <w:rFonts w:ascii="Arial" w:eastAsia="Times New Roman" w:hAnsi="Arial" w:cs="Arial"/>
          <w:b/>
          <w:sz w:val="20"/>
          <w:szCs w:val="20"/>
          <w:lang w:val="en-US" w:eastAsia="pl-PL"/>
        </w:rPr>
      </w:pPr>
    </w:p>
    <w:p w:rsidR="00046C7F" w:rsidRDefault="00046C7F" w:rsidP="008D1733">
      <w:pPr>
        <w:spacing w:after="0"/>
        <w:jc w:val="center"/>
        <w:rPr>
          <w:rFonts w:ascii="Arial" w:eastAsia="Times New Roman" w:hAnsi="Arial" w:cs="Arial"/>
          <w:b/>
          <w:sz w:val="20"/>
          <w:szCs w:val="20"/>
          <w:lang w:val="en-US" w:eastAsia="pl-PL"/>
        </w:rPr>
      </w:pPr>
    </w:p>
    <w:p w:rsidR="00046C7F" w:rsidRDefault="00046C7F" w:rsidP="008D1733">
      <w:pPr>
        <w:spacing w:after="0"/>
        <w:jc w:val="center"/>
        <w:rPr>
          <w:rFonts w:ascii="Arial" w:eastAsia="Times New Roman" w:hAnsi="Arial" w:cs="Arial"/>
          <w:b/>
          <w:sz w:val="20"/>
          <w:szCs w:val="20"/>
          <w:lang w:val="en-US" w:eastAsia="pl-PL"/>
        </w:rPr>
      </w:pPr>
    </w:p>
    <w:p w:rsidR="008D1733" w:rsidRPr="008D1733" w:rsidRDefault="008D1733" w:rsidP="008D1733">
      <w:pPr>
        <w:spacing w:after="0"/>
        <w:jc w:val="center"/>
        <w:rPr>
          <w:rFonts w:ascii="Arial" w:eastAsia="Times New Roman" w:hAnsi="Arial" w:cs="Arial"/>
          <w:b/>
          <w:sz w:val="20"/>
          <w:szCs w:val="20"/>
          <w:lang w:val="en-US" w:eastAsia="pl-PL"/>
        </w:rPr>
      </w:pPr>
      <w:bookmarkStart w:id="1" w:name="_GoBack"/>
      <w:bookmarkEnd w:id="1"/>
      <w:r w:rsidRPr="008D1733">
        <w:rPr>
          <w:rFonts w:ascii="Arial" w:eastAsia="Times New Roman" w:hAnsi="Arial" w:cs="Arial"/>
          <w:b/>
          <w:sz w:val="20"/>
          <w:szCs w:val="20"/>
          <w:lang w:val="en-US" w:eastAsia="pl-PL"/>
        </w:rPr>
        <w:lastRenderedPageBreak/>
        <w:t>§ 15.</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Rękojmia za każdy z elementów robót </w:t>
      </w:r>
      <w:r w:rsidRPr="00D06387">
        <w:rPr>
          <w:rFonts w:ascii="Arial" w:eastAsia="Times New Roman" w:hAnsi="Arial" w:cs="Arial"/>
          <w:b/>
          <w:sz w:val="20"/>
          <w:szCs w:val="20"/>
          <w:lang w:eastAsia="pl-PL"/>
        </w:rPr>
        <w:t xml:space="preserve">budowlanych </w:t>
      </w:r>
      <w:r w:rsidRPr="009B66B9">
        <w:rPr>
          <w:rFonts w:ascii="Arial" w:eastAsia="Times New Roman" w:hAnsi="Arial" w:cs="Arial"/>
          <w:b/>
          <w:sz w:val="20"/>
          <w:szCs w:val="20"/>
          <w:lang w:eastAsia="pl-PL"/>
        </w:rPr>
        <w:t>wynosi 5 lat, licząc</w:t>
      </w:r>
      <w:r w:rsidRPr="008D1733">
        <w:rPr>
          <w:rFonts w:ascii="Arial" w:eastAsia="Times New Roman" w:hAnsi="Arial" w:cs="Arial"/>
          <w:b/>
          <w:sz w:val="20"/>
          <w:szCs w:val="20"/>
          <w:lang w:eastAsia="pl-PL"/>
        </w:rPr>
        <w:t xml:space="preserve"> od daty odbioru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776495">
      <w:pPr>
        <w:numPr>
          <w:ilvl w:val="0"/>
          <w:numId w:val="40"/>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776495">
      <w:pPr>
        <w:numPr>
          <w:ilvl w:val="0"/>
          <w:numId w:val="40"/>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odstąpienia od umowy Wykonawcę i Zamawiającego obciążają następujące obowiązki szczegółowe:</w:t>
      </w:r>
    </w:p>
    <w:p w:rsidR="008D1733" w:rsidRPr="008D1733" w:rsidRDefault="008D1733" w:rsidP="00776495">
      <w:pPr>
        <w:numPr>
          <w:ilvl w:val="0"/>
          <w:numId w:val="26"/>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776495">
      <w:pPr>
        <w:numPr>
          <w:ilvl w:val="0"/>
          <w:numId w:val="26"/>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776495">
      <w:pPr>
        <w:numPr>
          <w:ilvl w:val="0"/>
          <w:numId w:val="26"/>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776495">
      <w:pPr>
        <w:numPr>
          <w:ilvl w:val="0"/>
          <w:numId w:val="26"/>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776495">
      <w:pPr>
        <w:numPr>
          <w:ilvl w:val="0"/>
          <w:numId w:val="27"/>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776495">
      <w:pPr>
        <w:numPr>
          <w:ilvl w:val="0"/>
          <w:numId w:val="27"/>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776495">
      <w:pPr>
        <w:numPr>
          <w:ilvl w:val="0"/>
          <w:numId w:val="27"/>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776495">
      <w:pPr>
        <w:numPr>
          <w:ilvl w:val="0"/>
          <w:numId w:val="27"/>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napotkania w czasie wykonywanych wykopów niezinwentaryzowanych urządzeń podziemnych,</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w:t>
      </w:r>
      <w:r w:rsidRPr="008D1733">
        <w:rPr>
          <w:rFonts w:ascii="Arial" w:eastAsia="Times New Roman" w:hAnsi="Arial" w:cs="Arial"/>
          <w:sz w:val="20"/>
          <w:szCs w:val="20"/>
          <w:lang w:eastAsia="pl-PL"/>
        </w:rPr>
        <w:lastRenderedPageBreak/>
        <w:t xml:space="preserve">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wykonania prac archeologicznych na terenie budowy.</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 lub inspektora nadzoru inwestorskiego.</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8D1733" w:rsidRPr="00723D2C" w:rsidRDefault="008D1733" w:rsidP="00723D2C">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robót i wynagrodzenia w związku z aktualizacją rozwiązań ze względu na postęp technologiczny lub gdyby zastosowanie przewidzianych rozwiązań groziło niewykonaniem lub wadliwym wykonaniem projektu.</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18</w:t>
      </w:r>
      <w:r w:rsidRPr="00C50CF5">
        <w:rPr>
          <w:rFonts w:ascii="Arial" w:eastAsia="Times New Roman" w:hAnsi="Arial" w:cs="Arial"/>
          <w:b/>
          <w:sz w:val="20"/>
          <w:szCs w:val="20"/>
          <w:lang w:eastAsia="pl-PL"/>
        </w:rPr>
        <w:t>.</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C50CF5">
        <w:rPr>
          <w:rFonts w:ascii="Arial" w:hAnsi="Arial" w:cs="Arial"/>
          <w:sz w:val="20"/>
          <w:szCs w:val="20"/>
        </w:rPr>
        <w:t>Dz.Urz.UE.L</w:t>
      </w:r>
      <w:proofErr w:type="spellEnd"/>
      <w:r w:rsidRPr="00C50CF5">
        <w:rPr>
          <w:rFonts w:ascii="Arial" w:hAnsi="Arial" w:cs="Arial"/>
          <w:sz w:val="20"/>
          <w:szCs w:val="20"/>
        </w:rPr>
        <w:t xml:space="preserve"> Nr 119/1), zwanego „RODO” </w:t>
      </w: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 xml:space="preserve">Umowa Powierzenia Przetwarzania Danych Osobowych, o której mowa w ust. 2, określi m.in.: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administratora danych i podmiot przetwarzający,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przedmiot i czas trwania przetwarzania danych,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charakter i cel przetwarzania,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rodzaj danych osobowych oraz kategorie osób, których dane dotyczą,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obowiązki i prawa Administratora danych,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obowiązki i prawa Podmiotu Przetwarzającego powierzone dane.  </w:t>
      </w:r>
    </w:p>
    <w:p w:rsidR="009B66B9" w:rsidRPr="00C50CF5" w:rsidRDefault="009B66B9" w:rsidP="009B66B9">
      <w:pPr>
        <w:widowControl w:val="0"/>
        <w:autoSpaceDE w:val="0"/>
        <w:autoSpaceDN w:val="0"/>
        <w:adjustRightInd w:val="0"/>
        <w:spacing w:after="0"/>
        <w:jc w:val="both"/>
        <w:rPr>
          <w:rFonts w:ascii="Arial" w:hAnsi="Arial" w:cs="Arial"/>
          <w:sz w:val="20"/>
          <w:szCs w:val="20"/>
          <w:lang w:eastAsia="pl-PL"/>
        </w:rPr>
      </w:pP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 xml:space="preserve">Wykonawca przyjmuje do wiadomości, że: </w:t>
      </w:r>
    </w:p>
    <w:p w:rsidR="009B66B9" w:rsidRPr="00C50CF5" w:rsidRDefault="009B66B9" w:rsidP="009B66B9">
      <w:pPr>
        <w:numPr>
          <w:ilvl w:val="0"/>
          <w:numId w:val="45"/>
        </w:numPr>
        <w:suppressAutoHyphens/>
        <w:spacing w:after="120"/>
        <w:jc w:val="both"/>
        <w:rPr>
          <w:rFonts w:ascii="Arial" w:hAnsi="Arial" w:cs="Arial"/>
          <w:color w:val="000000"/>
          <w:kern w:val="2"/>
          <w:sz w:val="20"/>
          <w:lang w:eastAsia="ar-SA"/>
        </w:rPr>
      </w:pPr>
      <w:r w:rsidRPr="00C50CF5">
        <w:rPr>
          <w:rFonts w:ascii="Arial" w:eastAsia="Times New Roman" w:hAnsi="Arial" w:cs="Arial"/>
          <w:sz w:val="20"/>
          <w:szCs w:val="20"/>
        </w:rPr>
        <w:t xml:space="preserve">Administratorem jego danych osobowych przetwarzanych w celach związanych z zawarciem niniejszej Umowy jest  </w:t>
      </w:r>
      <w:r w:rsidRPr="00C50CF5">
        <w:rPr>
          <w:rFonts w:ascii="Arial" w:eastAsia="Times New Roman" w:hAnsi="Arial" w:cs="Arial"/>
          <w:bCs/>
          <w:sz w:val="20"/>
          <w:szCs w:val="20"/>
        </w:rPr>
        <w:t>Gmina Czersk</w:t>
      </w:r>
      <w:r w:rsidRPr="00C50CF5">
        <w:rPr>
          <w:rFonts w:ascii="Arial" w:eastAsia="Times New Roman" w:hAnsi="Arial" w:cs="Arial"/>
          <w:sz w:val="20"/>
          <w:szCs w:val="20"/>
        </w:rPr>
        <w:t>, w imieniu której działa Burmistrz Czerska</w:t>
      </w:r>
      <w:r w:rsidRPr="00C50CF5">
        <w:rPr>
          <w:rFonts w:ascii="Arial" w:eastAsia="Times New Roman" w:hAnsi="Arial" w:cs="Arial"/>
          <w:bCs/>
          <w:sz w:val="20"/>
          <w:szCs w:val="20"/>
        </w:rPr>
        <w:t xml:space="preserve"> </w:t>
      </w:r>
      <w:r w:rsidRPr="00C50CF5">
        <w:rPr>
          <w:rFonts w:ascii="Arial" w:eastAsia="Times New Roman" w:hAnsi="Arial" w:cs="Arial"/>
          <w:sz w:val="20"/>
          <w:szCs w:val="20"/>
        </w:rPr>
        <w:t xml:space="preserve">wykonujący prawem określone obowiązki z wykorzystaniem aparatu pomocniczego – Urzędu Miejskiego w Czersku.  Dane kontaktowe: ul. Kościuszki 27, 89-650 Czersk, tel. 52 395 48 60, </w:t>
      </w:r>
      <w:r w:rsidRPr="00C50CF5">
        <w:rPr>
          <w:rFonts w:ascii="Arial" w:eastAsia="Times New Roman" w:hAnsi="Arial" w:cs="Arial"/>
          <w:sz w:val="20"/>
          <w:szCs w:val="20"/>
        </w:rPr>
        <w:br/>
        <w:t xml:space="preserve">fax: 52 395 48 11, e-mail: </w:t>
      </w:r>
      <w:hyperlink r:id="rId9" w:history="1">
        <w:r w:rsidRPr="00C50CF5">
          <w:rPr>
            <w:rFonts w:ascii="Arial" w:eastAsia="Times New Roman" w:hAnsi="Arial" w:cs="Arial"/>
            <w:sz w:val="20"/>
            <w:szCs w:val="20"/>
            <w:u w:val="single"/>
          </w:rPr>
          <w:t>urzad_miejski@czersk.pl</w:t>
        </w:r>
      </w:hyperlink>
      <w:r w:rsidRPr="00C50CF5">
        <w:rPr>
          <w:rFonts w:ascii="Arial" w:eastAsia="Times New Roman" w:hAnsi="Arial" w:cs="Arial"/>
          <w:sz w:val="20"/>
          <w:szCs w:val="20"/>
        </w:rPr>
        <w:t>.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Podanie danych osobowych wymaganych w komparycji niniejszej Umowy oraz danych wymaganych do jej rozliczenia, ma charakter dobrowolny, niemniej jest warunkiem koniecznym do jej zawarcia i wykonania.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Dane osobowe Wykonawcy będą przetwarzane w celu realizacji niniejszej umowy na podstawie art. 6 ust. 1 lit. b) RODO – przetwarzanie jest niezbędne do wykonania umowy której stroną jest osoba, której dane dotyczą.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Dane osobowe Wykonawcy przechowywane będą przez okres niezbędny do realizacji celu dla jakiego zostały one zebrane oraz zgodnie z terminami archiwizacji określonymi przez przepisy szczególne.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Dotyczące Wykonawcy dane osobowe nie podlegają zautomatyzowanemu podejmowaniu decyzji przez Administratora Danych, w tym profilowaniu i nie będą przekazywane do państwa trzeciego lub organizacji międzynarodowej.  </w:t>
      </w:r>
    </w:p>
    <w:p w:rsidR="009B66B9" w:rsidRPr="00C50CF5" w:rsidRDefault="009B66B9" w:rsidP="009B66B9">
      <w:pPr>
        <w:numPr>
          <w:ilvl w:val="0"/>
          <w:numId w:val="45"/>
        </w:numPr>
        <w:suppressAutoHyphens/>
        <w:spacing w:after="120"/>
        <w:ind w:left="714" w:hanging="357"/>
        <w:jc w:val="both"/>
        <w:rPr>
          <w:rFonts w:ascii="Arial" w:eastAsia="Times New Roman" w:hAnsi="Arial" w:cs="Arial"/>
          <w:sz w:val="20"/>
          <w:szCs w:val="20"/>
        </w:rPr>
      </w:pPr>
      <w:r w:rsidRPr="00C50CF5">
        <w:rPr>
          <w:rFonts w:ascii="Arial" w:eastAsia="Times New Roman" w:hAnsi="Arial" w:cs="Arial"/>
          <w:sz w:val="20"/>
          <w:szCs w:val="20"/>
        </w:rPr>
        <w:t>Wykonawcy przysługują prawa:</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dostępu do dotyczących go danych oraz otrzymania ich kopii,</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lastRenderedPageBreak/>
        <w:t>sprostowania (poprawiania) danych,</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 xml:space="preserve">usunięcia danych (zgodnie z uwarunkowaniami określonymi w art. 17 RODO), </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do ograniczenia przetwarzania danych,</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do przenoszenia danych (zgodnie z uwarunkowaniami określonymi w art. 20 RODO),</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wniesienia sprzeciwu wobec przetwarzania danych,</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 xml:space="preserve">wniesienia skargi do organu nadzorczego, o którym mowa w art. 4 pkt  21 RODO, </w:t>
      </w:r>
      <w:r w:rsidRPr="00C50CF5">
        <w:rPr>
          <w:rFonts w:ascii="Arial" w:eastAsia="Times New Roman" w:hAnsi="Arial" w:cs="Arial"/>
          <w:sz w:val="20"/>
          <w:szCs w:val="20"/>
        </w:rPr>
        <w:br/>
        <w:t xml:space="preserve">t. j. Prezesa Urzędu Ochrony Danych Osobowych w Warszawie.  </w:t>
      </w:r>
    </w:p>
    <w:p w:rsidR="009B66B9" w:rsidRPr="00C50CF5" w:rsidRDefault="009B66B9" w:rsidP="009B66B9">
      <w:pPr>
        <w:suppressAutoHyphens/>
        <w:spacing w:after="0"/>
        <w:jc w:val="both"/>
        <w:rPr>
          <w:rFonts w:ascii="Arial" w:eastAsia="Times New Roman" w:hAnsi="Arial" w:cs="Arial"/>
          <w:sz w:val="20"/>
          <w:szCs w:val="20"/>
        </w:rPr>
      </w:pPr>
    </w:p>
    <w:p w:rsidR="009B66B9" w:rsidRPr="00C50CF5" w:rsidRDefault="009B66B9" w:rsidP="009B66B9">
      <w:pPr>
        <w:widowControl w:val="0"/>
        <w:numPr>
          <w:ilvl w:val="0"/>
          <w:numId w:val="45"/>
        </w:numPr>
        <w:autoSpaceDE w:val="0"/>
        <w:autoSpaceDN w:val="0"/>
        <w:adjustRightInd w:val="0"/>
        <w:spacing w:after="0"/>
        <w:ind w:left="714" w:hanging="357"/>
        <w:contextualSpacing/>
        <w:jc w:val="both"/>
        <w:rPr>
          <w:rFonts w:cs="Arial"/>
          <w:sz w:val="20"/>
          <w:szCs w:val="20"/>
        </w:rPr>
      </w:pPr>
      <w:r w:rsidRPr="00C50CF5">
        <w:rPr>
          <w:rFonts w:ascii="Arial" w:hAnsi="Arial" w:cs="Arial"/>
          <w:sz w:val="20"/>
        </w:rPr>
        <w:t xml:space="preserve">W sprawach z zakresu ochrony danych osobowych można kontaktować się z Inspektorem Ochrony Danych, telefonicznie: (52) 395 48 54 lub (52) 395 48 60 oraz pod adresem e-mail: iod@czersk.pl.  </w:t>
      </w:r>
    </w:p>
    <w:p w:rsidR="009B66B9" w:rsidRDefault="009B66B9"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8D1733" w:rsidRPr="008D1733" w:rsidRDefault="008D1733" w:rsidP="008D1733">
      <w:pPr>
        <w:spacing w:after="0"/>
        <w:jc w:val="both"/>
        <w:rPr>
          <w:rFonts w:ascii="Arial" w:eastAsia="Times New Roman" w:hAnsi="Arial" w:cs="Arial"/>
          <w:sz w:val="20"/>
          <w:szCs w:val="20"/>
        </w:rPr>
      </w:pPr>
    </w:p>
    <w:p w:rsidR="008D1733" w:rsidRPr="008D1733" w:rsidRDefault="008D1733" w:rsidP="008D1733">
      <w:pPr>
        <w:spacing w:after="0"/>
        <w:rPr>
          <w:rFonts w:ascii="Arial" w:eastAsia="Times New Roman" w:hAnsi="Arial" w:cs="Arial"/>
          <w:sz w:val="20"/>
          <w:szCs w:val="20"/>
          <w:lang w:eastAsia="pl-PL"/>
        </w:rPr>
      </w:pPr>
    </w:p>
    <w:p w:rsidR="0074095F" w:rsidRPr="008D1733" w:rsidRDefault="0074095F" w:rsidP="008D1733"/>
    <w:sectPr w:rsidR="0074095F" w:rsidRPr="008D1733" w:rsidSect="00EB1C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C8" w:rsidRDefault="001038C8">
      <w:r>
        <w:separator/>
      </w:r>
    </w:p>
  </w:endnote>
  <w:endnote w:type="continuationSeparator" w:id="0">
    <w:p w:rsidR="001038C8" w:rsidRDefault="0010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Stopka"/>
    </w:pPr>
    <w:r>
      <w:rPr>
        <w:noProof/>
        <w:lang w:eastAsia="pl-PL"/>
      </w:rPr>
      <w:drawing>
        <wp:inline distT="0" distB="0" distL="0" distR="0">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rsidR="00BF415D" w:rsidRDefault="00BF41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Stopka"/>
    </w:pPr>
    <w:r>
      <w:rPr>
        <w:noProof/>
        <w:lang w:eastAsia="pl-PL"/>
      </w:rPr>
      <w:drawing>
        <wp:inline distT="0" distB="0" distL="0" distR="0">
          <wp:extent cx="5939790" cy="532765"/>
          <wp:effectExtent l="0" t="0" r="381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C8" w:rsidRDefault="001038C8">
      <w:r>
        <w:separator/>
      </w:r>
    </w:p>
  </w:footnote>
  <w:footnote w:type="continuationSeparator" w:id="0">
    <w:p w:rsidR="001038C8" w:rsidRDefault="001038C8">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Nagwek"/>
    </w:pPr>
    <w:r>
      <w:rPr>
        <w:noProof/>
        <w:lang w:eastAsia="pl-PL"/>
      </w:rPr>
      <w:drawing>
        <wp:inline distT="0" distB="0" distL="0" distR="0">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rsidR="00BF415D" w:rsidRDefault="00BF41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Nagwek"/>
    </w:pPr>
    <w:r>
      <w:rPr>
        <w:noProof/>
        <w:lang w:eastAsia="pl-PL"/>
      </w:rPr>
      <w:drawing>
        <wp:inline distT="0" distB="0" distL="0" distR="0">
          <wp:extent cx="5924550" cy="6762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CB7BC9"/>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0F36FA"/>
    <w:multiLevelType w:val="hybridMultilevel"/>
    <w:tmpl w:val="866EC3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0">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FA80389"/>
    <w:multiLevelType w:val="hybridMultilevel"/>
    <w:tmpl w:val="155A795E"/>
    <w:lvl w:ilvl="0" w:tplc="8EAA972A">
      <w:start w:val="1"/>
      <w:numFmt w:val="decimal"/>
      <w:lvlText w:val="%1."/>
      <w:lvlJc w:val="left"/>
      <w:pPr>
        <w:ind w:left="5464" w:hanging="360"/>
      </w:pPr>
      <w:rPr>
        <w:b w:val="0"/>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6">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C6019D"/>
    <w:multiLevelType w:val="hybridMultilevel"/>
    <w:tmpl w:val="4814A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7D21DA"/>
    <w:multiLevelType w:val="hybridMultilevel"/>
    <w:tmpl w:val="D8FA8CA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3">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8">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355308C"/>
    <w:multiLevelType w:val="hybridMultilevel"/>
    <w:tmpl w:val="4E44F84C"/>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44F1154"/>
    <w:multiLevelType w:val="hybridMultilevel"/>
    <w:tmpl w:val="B44C3982"/>
    <w:lvl w:ilvl="0" w:tplc="36B079B0">
      <w:start w:val="1"/>
      <w:numFmt w:val="decimal"/>
      <w:lvlText w:val="%1."/>
      <w:lvlJc w:val="left"/>
      <w:pPr>
        <w:tabs>
          <w:tab w:val="num" w:pos="720"/>
        </w:tabs>
        <w:ind w:left="720" w:hanging="360"/>
      </w:pPr>
      <w:rPr>
        <w:rFonts w:hint="default"/>
      </w:rPr>
    </w:lvl>
    <w:lvl w:ilvl="1" w:tplc="7AF81C1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E6714C"/>
    <w:multiLevelType w:val="hybridMultilevel"/>
    <w:tmpl w:val="7F4E527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12"/>
  </w:num>
  <w:num w:numId="3">
    <w:abstractNumId w:val="8"/>
  </w:num>
  <w:num w:numId="4">
    <w:abstractNumId w:val="3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5"/>
  </w:num>
  <w:num w:numId="11">
    <w:abstractNumId w:val="0"/>
  </w:num>
  <w:num w:numId="12">
    <w:abstractNumId w:val="28"/>
  </w:num>
  <w:num w:numId="13">
    <w:abstractNumId w:val="2"/>
  </w:num>
  <w:num w:numId="14">
    <w:abstractNumId w:val="45"/>
  </w:num>
  <w:num w:numId="15">
    <w:abstractNumId w:val="4"/>
  </w:num>
  <w:num w:numId="16">
    <w:abstractNumId w:val="11"/>
  </w:num>
  <w:num w:numId="17">
    <w:abstractNumId w:val="37"/>
  </w:num>
  <w:num w:numId="18">
    <w:abstractNumId w:val="31"/>
  </w:num>
  <w:num w:numId="19">
    <w:abstractNumId w:val="30"/>
  </w:num>
  <w:num w:numId="20">
    <w:abstractNumId w:val="19"/>
  </w:num>
  <w:num w:numId="21">
    <w:abstractNumId w:val="18"/>
  </w:num>
  <w:num w:numId="22">
    <w:abstractNumId w:val="20"/>
  </w:num>
  <w:num w:numId="23">
    <w:abstractNumId w:val="6"/>
  </w:num>
  <w:num w:numId="24">
    <w:abstractNumId w:val="33"/>
  </w:num>
  <w:num w:numId="25">
    <w:abstractNumId w:val="36"/>
  </w:num>
  <w:num w:numId="26">
    <w:abstractNumId w:val="16"/>
  </w:num>
  <w:num w:numId="27">
    <w:abstractNumId w:val="27"/>
  </w:num>
  <w:num w:numId="28">
    <w:abstractNumId w:val="42"/>
  </w:num>
  <w:num w:numId="29">
    <w:abstractNumId w:val="40"/>
  </w:num>
  <w:num w:numId="30">
    <w:abstractNumId w:val="17"/>
  </w:num>
  <w:num w:numId="31">
    <w:abstractNumId w:val="24"/>
  </w:num>
  <w:num w:numId="32">
    <w:abstractNumId w:val="46"/>
  </w:num>
  <w:num w:numId="33">
    <w:abstractNumId w:val="39"/>
  </w:num>
  <w:num w:numId="34">
    <w:abstractNumId w:val="21"/>
  </w:num>
  <w:num w:numId="35">
    <w:abstractNumId w:val="38"/>
  </w:num>
  <w:num w:numId="36">
    <w:abstractNumId w:val="7"/>
  </w:num>
  <w:num w:numId="37">
    <w:abstractNumId w:val="44"/>
  </w:num>
  <w:num w:numId="38">
    <w:abstractNumId w:val="26"/>
  </w:num>
  <w:num w:numId="39">
    <w:abstractNumId w:val="5"/>
  </w:num>
  <w:num w:numId="40">
    <w:abstractNumId w:val="41"/>
  </w:num>
  <w:num w:numId="41">
    <w:abstractNumId w:val="1"/>
  </w:num>
  <w:num w:numId="42">
    <w:abstractNumId w:val="23"/>
  </w:num>
  <w:num w:numId="43">
    <w:abstractNumId w:val="9"/>
  </w:num>
  <w:num w:numId="44">
    <w:abstractNumId w:val="22"/>
  </w:num>
  <w:num w:numId="45">
    <w:abstractNumId w:val="47"/>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13"/>
  </w:num>
  <w:num w:numId="4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6A8F"/>
    <w:rsid w:val="000E1BAE"/>
    <w:rsid w:val="00103179"/>
    <w:rsid w:val="001038C8"/>
    <w:rsid w:val="001038E0"/>
    <w:rsid w:val="00105E76"/>
    <w:rsid w:val="0011405B"/>
    <w:rsid w:val="00116B38"/>
    <w:rsid w:val="00124862"/>
    <w:rsid w:val="00125866"/>
    <w:rsid w:val="001278F5"/>
    <w:rsid w:val="00132A25"/>
    <w:rsid w:val="00140949"/>
    <w:rsid w:val="00141C87"/>
    <w:rsid w:val="00147F0E"/>
    <w:rsid w:val="001516CA"/>
    <w:rsid w:val="0016014A"/>
    <w:rsid w:val="00160E4E"/>
    <w:rsid w:val="001661ED"/>
    <w:rsid w:val="00172D49"/>
    <w:rsid w:val="001766E8"/>
    <w:rsid w:val="001878E6"/>
    <w:rsid w:val="00195C55"/>
    <w:rsid w:val="001A112A"/>
    <w:rsid w:val="001B3A8D"/>
    <w:rsid w:val="001B4604"/>
    <w:rsid w:val="001B5B34"/>
    <w:rsid w:val="001B5BF6"/>
    <w:rsid w:val="001C773A"/>
    <w:rsid w:val="001D4E65"/>
    <w:rsid w:val="001E1D6E"/>
    <w:rsid w:val="001E50CF"/>
    <w:rsid w:val="002017DE"/>
    <w:rsid w:val="002178AF"/>
    <w:rsid w:val="0023134D"/>
    <w:rsid w:val="00232CBC"/>
    <w:rsid w:val="002347BE"/>
    <w:rsid w:val="0023704A"/>
    <w:rsid w:val="0023785F"/>
    <w:rsid w:val="00240135"/>
    <w:rsid w:val="00244CA2"/>
    <w:rsid w:val="00253F57"/>
    <w:rsid w:val="0025681D"/>
    <w:rsid w:val="002647E0"/>
    <w:rsid w:val="0026493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948"/>
    <w:rsid w:val="00423121"/>
    <w:rsid w:val="004237B0"/>
    <w:rsid w:val="00423D1E"/>
    <w:rsid w:val="0045054D"/>
    <w:rsid w:val="0045311B"/>
    <w:rsid w:val="00453EE8"/>
    <w:rsid w:val="00456FF2"/>
    <w:rsid w:val="00464FA9"/>
    <w:rsid w:val="00466AE6"/>
    <w:rsid w:val="0047356B"/>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344FB"/>
    <w:rsid w:val="00551D90"/>
    <w:rsid w:val="00562BFF"/>
    <w:rsid w:val="0058256D"/>
    <w:rsid w:val="00596017"/>
    <w:rsid w:val="00597C44"/>
    <w:rsid w:val="005B6924"/>
    <w:rsid w:val="005D3780"/>
    <w:rsid w:val="005E1550"/>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F4803"/>
    <w:rsid w:val="008067D8"/>
    <w:rsid w:val="0081050B"/>
    <w:rsid w:val="00812FCA"/>
    <w:rsid w:val="008145FA"/>
    <w:rsid w:val="00815202"/>
    <w:rsid w:val="0081528D"/>
    <w:rsid w:val="00816CAD"/>
    <w:rsid w:val="00821D0C"/>
    <w:rsid w:val="00844BBE"/>
    <w:rsid w:val="0085299B"/>
    <w:rsid w:val="008541B1"/>
    <w:rsid w:val="008646A2"/>
    <w:rsid w:val="00865807"/>
    <w:rsid w:val="0086783D"/>
    <w:rsid w:val="008B3010"/>
    <w:rsid w:val="008C3108"/>
    <w:rsid w:val="008D1733"/>
    <w:rsid w:val="008E712B"/>
    <w:rsid w:val="008F4BA9"/>
    <w:rsid w:val="0091100C"/>
    <w:rsid w:val="00913F64"/>
    <w:rsid w:val="00927C15"/>
    <w:rsid w:val="00934077"/>
    <w:rsid w:val="009362CD"/>
    <w:rsid w:val="00940362"/>
    <w:rsid w:val="00950473"/>
    <w:rsid w:val="00967F64"/>
    <w:rsid w:val="00971CB4"/>
    <w:rsid w:val="009B1CC8"/>
    <w:rsid w:val="009B66B9"/>
    <w:rsid w:val="009B674C"/>
    <w:rsid w:val="009C2E19"/>
    <w:rsid w:val="009D4E1F"/>
    <w:rsid w:val="009D5AFE"/>
    <w:rsid w:val="00A07671"/>
    <w:rsid w:val="00A15BF2"/>
    <w:rsid w:val="00A160F9"/>
    <w:rsid w:val="00A16894"/>
    <w:rsid w:val="00A25BB6"/>
    <w:rsid w:val="00A41BF9"/>
    <w:rsid w:val="00A46EDC"/>
    <w:rsid w:val="00A715EC"/>
    <w:rsid w:val="00A71720"/>
    <w:rsid w:val="00A77303"/>
    <w:rsid w:val="00A77738"/>
    <w:rsid w:val="00A87726"/>
    <w:rsid w:val="00AB68B4"/>
    <w:rsid w:val="00AC13F0"/>
    <w:rsid w:val="00AC338E"/>
    <w:rsid w:val="00AC4EC0"/>
    <w:rsid w:val="00AE4CE5"/>
    <w:rsid w:val="00AE6D50"/>
    <w:rsid w:val="00AF17C4"/>
    <w:rsid w:val="00B030C6"/>
    <w:rsid w:val="00B10D79"/>
    <w:rsid w:val="00B12247"/>
    <w:rsid w:val="00B204C5"/>
    <w:rsid w:val="00B4352C"/>
    <w:rsid w:val="00B451F7"/>
    <w:rsid w:val="00B46DCE"/>
    <w:rsid w:val="00B516E1"/>
    <w:rsid w:val="00B65DF2"/>
    <w:rsid w:val="00B70619"/>
    <w:rsid w:val="00B729E0"/>
    <w:rsid w:val="00B86162"/>
    <w:rsid w:val="00B866EB"/>
    <w:rsid w:val="00B90EA9"/>
    <w:rsid w:val="00B92970"/>
    <w:rsid w:val="00B97E6A"/>
    <w:rsid w:val="00BB1A3A"/>
    <w:rsid w:val="00BC4992"/>
    <w:rsid w:val="00BD08BE"/>
    <w:rsid w:val="00BE5C72"/>
    <w:rsid w:val="00BF1C10"/>
    <w:rsid w:val="00BF3A17"/>
    <w:rsid w:val="00BF415D"/>
    <w:rsid w:val="00C00739"/>
    <w:rsid w:val="00C02358"/>
    <w:rsid w:val="00C170D1"/>
    <w:rsid w:val="00C31461"/>
    <w:rsid w:val="00C47A1D"/>
    <w:rsid w:val="00C55112"/>
    <w:rsid w:val="00C64EAA"/>
    <w:rsid w:val="00C66C77"/>
    <w:rsid w:val="00C67519"/>
    <w:rsid w:val="00C70A6B"/>
    <w:rsid w:val="00C77B6A"/>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41699"/>
    <w:rsid w:val="00D45710"/>
    <w:rsid w:val="00D5244D"/>
    <w:rsid w:val="00D629F9"/>
    <w:rsid w:val="00D632CB"/>
    <w:rsid w:val="00D6614F"/>
    <w:rsid w:val="00D6778D"/>
    <w:rsid w:val="00D704CE"/>
    <w:rsid w:val="00D92359"/>
    <w:rsid w:val="00DA00C7"/>
    <w:rsid w:val="00DA7225"/>
    <w:rsid w:val="00DC2281"/>
    <w:rsid w:val="00DC2385"/>
    <w:rsid w:val="00DC6EB5"/>
    <w:rsid w:val="00DD3E53"/>
    <w:rsid w:val="00DD47A8"/>
    <w:rsid w:val="00DD6F27"/>
    <w:rsid w:val="00DE2C7B"/>
    <w:rsid w:val="00E0018D"/>
    <w:rsid w:val="00E07DB9"/>
    <w:rsid w:val="00E16F33"/>
    <w:rsid w:val="00E2043C"/>
    <w:rsid w:val="00E335DC"/>
    <w:rsid w:val="00E3434D"/>
    <w:rsid w:val="00E35A3F"/>
    <w:rsid w:val="00E5003A"/>
    <w:rsid w:val="00E532CB"/>
    <w:rsid w:val="00E53785"/>
    <w:rsid w:val="00E706E1"/>
    <w:rsid w:val="00E73A35"/>
    <w:rsid w:val="00E85809"/>
    <w:rsid w:val="00E94C21"/>
    <w:rsid w:val="00E9697D"/>
    <w:rsid w:val="00EB1C5F"/>
    <w:rsid w:val="00EC4034"/>
    <w:rsid w:val="00EC4DDE"/>
    <w:rsid w:val="00EC6B48"/>
    <w:rsid w:val="00ED1427"/>
    <w:rsid w:val="00ED5E43"/>
    <w:rsid w:val="00EE02A5"/>
    <w:rsid w:val="00EF29DA"/>
    <w:rsid w:val="00EF6EA0"/>
    <w:rsid w:val="00F038F8"/>
    <w:rsid w:val="00F076B6"/>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8182-0006-4B45-BB4B-64A3FAB8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6612</Words>
  <Characters>39673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4</cp:revision>
  <cp:lastPrinted>2021-02-24T09:56:00Z</cp:lastPrinted>
  <dcterms:created xsi:type="dcterms:W3CDTF">2021-02-22T19:19:00Z</dcterms:created>
  <dcterms:modified xsi:type="dcterms:W3CDTF">2021-02-24T10:02:00Z</dcterms:modified>
</cp:coreProperties>
</file>