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F3" w:rsidRPr="00F74A9C" w:rsidRDefault="001E09F3" w:rsidP="001E09F3">
      <w:pPr>
        <w:jc w:val="right"/>
        <w:rPr>
          <w:rFonts w:asciiTheme="minorHAnsi" w:hAnsiTheme="minorHAnsi" w:cstheme="minorHAnsi"/>
          <w:sz w:val="24"/>
          <w:szCs w:val="24"/>
        </w:rPr>
      </w:pPr>
    </w:p>
    <w:p w:rsidR="0031116B" w:rsidRPr="00F74A9C" w:rsidRDefault="001E09F3" w:rsidP="001E09F3">
      <w:pPr>
        <w:jc w:val="right"/>
        <w:rPr>
          <w:rFonts w:asciiTheme="minorHAnsi" w:hAnsiTheme="minorHAnsi" w:cstheme="minorHAnsi"/>
          <w:sz w:val="24"/>
          <w:szCs w:val="24"/>
        </w:rPr>
      </w:pPr>
      <w:r w:rsidRPr="00F74A9C">
        <w:rPr>
          <w:rFonts w:asciiTheme="minorHAnsi" w:hAnsiTheme="minorHAnsi" w:cstheme="minorHAnsi"/>
          <w:sz w:val="24"/>
          <w:szCs w:val="24"/>
        </w:rPr>
        <w:t xml:space="preserve">Łódź dnia </w:t>
      </w:r>
      <w:r w:rsidR="0031116B" w:rsidRPr="00F74A9C">
        <w:rPr>
          <w:rFonts w:asciiTheme="minorHAnsi" w:hAnsiTheme="minorHAnsi" w:cstheme="minorHAnsi"/>
          <w:sz w:val="24"/>
          <w:szCs w:val="24"/>
        </w:rPr>
        <w:t>08.12.2023 r.</w:t>
      </w:r>
    </w:p>
    <w:p w:rsidR="001E09F3" w:rsidRPr="00F74A9C" w:rsidRDefault="001E09F3" w:rsidP="001E09F3">
      <w:pPr>
        <w:jc w:val="both"/>
        <w:rPr>
          <w:rFonts w:asciiTheme="minorHAnsi" w:hAnsiTheme="minorHAnsi" w:cstheme="minorHAnsi"/>
          <w:sz w:val="24"/>
          <w:szCs w:val="24"/>
        </w:rPr>
      </w:pPr>
    </w:p>
    <w:p w:rsidR="001E09F3" w:rsidRPr="00F74A9C" w:rsidRDefault="001E09F3" w:rsidP="001E09F3">
      <w:pPr>
        <w:jc w:val="right"/>
        <w:rPr>
          <w:rFonts w:asciiTheme="minorHAnsi" w:hAnsiTheme="minorHAnsi" w:cstheme="minorHAnsi"/>
          <w:b/>
          <w:sz w:val="24"/>
          <w:szCs w:val="24"/>
          <w:u w:val="single"/>
        </w:rPr>
      </w:pPr>
      <w:r w:rsidRPr="00F74A9C">
        <w:rPr>
          <w:rFonts w:asciiTheme="minorHAnsi" w:hAnsiTheme="minorHAnsi" w:cstheme="minorHAnsi"/>
          <w:b/>
          <w:bCs/>
          <w:sz w:val="24"/>
          <w:szCs w:val="24"/>
        </w:rPr>
        <w:tab/>
      </w:r>
      <w:r w:rsidRPr="00F74A9C">
        <w:rPr>
          <w:rFonts w:asciiTheme="minorHAnsi" w:hAnsiTheme="minorHAnsi" w:cstheme="minorHAnsi"/>
          <w:b/>
          <w:bCs/>
          <w:sz w:val="24"/>
          <w:szCs w:val="24"/>
        </w:rPr>
        <w:tab/>
      </w:r>
      <w:r w:rsidRPr="00F74A9C">
        <w:rPr>
          <w:rFonts w:asciiTheme="minorHAnsi" w:hAnsiTheme="minorHAnsi" w:cstheme="minorHAnsi"/>
          <w:b/>
          <w:bCs/>
          <w:sz w:val="24"/>
          <w:szCs w:val="24"/>
        </w:rPr>
        <w:tab/>
      </w:r>
      <w:r w:rsidRPr="00F74A9C">
        <w:rPr>
          <w:rFonts w:asciiTheme="minorHAnsi" w:hAnsiTheme="minorHAnsi" w:cstheme="minorHAnsi"/>
          <w:b/>
          <w:sz w:val="24"/>
          <w:szCs w:val="24"/>
        </w:rPr>
        <w:tab/>
      </w:r>
      <w:r w:rsidRPr="00F74A9C">
        <w:rPr>
          <w:rFonts w:asciiTheme="minorHAnsi" w:hAnsiTheme="minorHAnsi" w:cstheme="minorHAnsi"/>
          <w:b/>
          <w:sz w:val="24"/>
          <w:szCs w:val="24"/>
        </w:rPr>
        <w:tab/>
      </w:r>
      <w:r w:rsidRPr="00F74A9C">
        <w:rPr>
          <w:rFonts w:asciiTheme="minorHAnsi" w:hAnsiTheme="minorHAnsi" w:cstheme="minorHAnsi"/>
          <w:b/>
          <w:sz w:val="24"/>
          <w:szCs w:val="24"/>
          <w:u w:val="single"/>
        </w:rPr>
        <w:t xml:space="preserve">WSZYSCY WYKONAWCY </w:t>
      </w:r>
    </w:p>
    <w:p w:rsidR="001E09F3" w:rsidRPr="00F74A9C" w:rsidRDefault="001E09F3" w:rsidP="001E09F3">
      <w:pPr>
        <w:jc w:val="right"/>
        <w:rPr>
          <w:rFonts w:asciiTheme="minorHAnsi" w:hAnsiTheme="minorHAnsi" w:cstheme="minorHAnsi"/>
          <w:b/>
          <w:sz w:val="24"/>
          <w:szCs w:val="24"/>
          <w:u w:val="single"/>
        </w:rPr>
      </w:pPr>
    </w:p>
    <w:p w:rsidR="001E09F3" w:rsidRPr="00F74A9C" w:rsidRDefault="001E09F3" w:rsidP="001E09F3">
      <w:pPr>
        <w:suppressAutoHyphens/>
        <w:jc w:val="both"/>
        <w:rPr>
          <w:rFonts w:asciiTheme="minorHAnsi" w:eastAsia="Times New Roman" w:hAnsiTheme="minorHAnsi" w:cstheme="minorHAnsi"/>
          <w:b/>
          <w:i/>
          <w:sz w:val="24"/>
          <w:szCs w:val="24"/>
          <w:lang w:eastAsia="ar-SA"/>
        </w:rPr>
      </w:pPr>
      <w:r w:rsidRPr="00F74A9C">
        <w:rPr>
          <w:rFonts w:asciiTheme="minorHAnsi" w:eastAsia="Times New Roman" w:hAnsiTheme="minorHAnsi" w:cstheme="minorHAnsi"/>
          <w:b/>
          <w:i/>
          <w:sz w:val="24"/>
          <w:szCs w:val="24"/>
          <w:lang w:eastAsia="ar-SA"/>
        </w:rPr>
        <w:t xml:space="preserve">Dot. postępowania o udzielenie zamówienia publicznego: </w:t>
      </w:r>
      <w:r w:rsidRPr="00F74A9C">
        <w:rPr>
          <w:rFonts w:asciiTheme="minorHAnsi" w:eastAsia="Times New Roman" w:hAnsiTheme="minorHAnsi" w:cstheme="minorHAnsi"/>
          <w:b/>
          <w:bCs/>
          <w:i/>
          <w:iCs/>
          <w:sz w:val="24"/>
          <w:szCs w:val="24"/>
          <w:lang w:eastAsia="ar-SA"/>
        </w:rPr>
        <w:t xml:space="preserve">Realizacja robót budowlanych wraz z dostawą i montażem wyposażenia dla Samodzielnego Publicznego Zakładu Opieki Zdrowotnej Centralnego Szpitala Klinicznego Uniwersytetu Medycznego w Łodzi przy </w:t>
      </w:r>
      <w:r w:rsidRPr="00F74A9C">
        <w:rPr>
          <w:rFonts w:asciiTheme="minorHAnsi" w:eastAsia="Times New Roman" w:hAnsiTheme="minorHAnsi" w:cstheme="minorHAnsi"/>
          <w:b/>
          <w:bCs/>
          <w:i/>
          <w:iCs/>
          <w:sz w:val="24"/>
          <w:szCs w:val="24"/>
          <w:lang w:eastAsia="ar-SA"/>
        </w:rPr>
        <w:br/>
        <w:t xml:space="preserve">ul. Pomorskiej 251 </w:t>
      </w:r>
      <w:r w:rsidRPr="00F74A9C">
        <w:rPr>
          <w:rFonts w:asciiTheme="minorHAnsi" w:eastAsia="Times New Roman" w:hAnsiTheme="minorHAnsi" w:cstheme="minorHAnsi"/>
          <w:b/>
          <w:i/>
          <w:sz w:val="24"/>
          <w:szCs w:val="24"/>
          <w:lang w:eastAsia="ar-SA"/>
        </w:rPr>
        <w:t>- sprawa nr ZP / 127 / 2023</w:t>
      </w:r>
    </w:p>
    <w:p w:rsidR="001E09F3" w:rsidRPr="00F74A9C" w:rsidRDefault="001E09F3" w:rsidP="001E09F3">
      <w:pPr>
        <w:ind w:right="-964"/>
        <w:rPr>
          <w:rFonts w:asciiTheme="minorHAnsi" w:hAnsiTheme="minorHAnsi" w:cstheme="minorHAnsi"/>
          <w:b/>
          <w:bCs/>
          <w:i/>
          <w:sz w:val="24"/>
          <w:szCs w:val="24"/>
        </w:rPr>
      </w:pPr>
    </w:p>
    <w:p w:rsidR="001E09F3" w:rsidRPr="00F74A9C" w:rsidRDefault="001E09F3" w:rsidP="001E09F3">
      <w:pPr>
        <w:ind w:firstLine="708"/>
        <w:jc w:val="both"/>
        <w:rPr>
          <w:rFonts w:asciiTheme="minorHAnsi" w:eastAsia="Times New Roman" w:hAnsiTheme="minorHAnsi" w:cstheme="minorHAnsi"/>
          <w:sz w:val="24"/>
          <w:szCs w:val="24"/>
          <w:u w:val="single"/>
          <w:lang w:eastAsia="ar-SA"/>
        </w:rPr>
      </w:pPr>
      <w:r w:rsidRPr="00F74A9C">
        <w:rPr>
          <w:rFonts w:asciiTheme="minorHAnsi" w:eastAsia="Times New Roman" w:hAnsiTheme="minorHAnsi" w:cstheme="minorHAnsi"/>
          <w:sz w:val="24"/>
          <w:szCs w:val="24"/>
          <w:u w:val="single"/>
          <w:lang w:eastAsia="ar-SA"/>
        </w:rPr>
        <w:t>Zgodnie z art. 135 ust. 2 ustawy z dnia 11 września 2019 r. – Prawo zamówień publicznych (Dz.U. z 2023 poz. 1605 ze zm.), w odpowiedzi na wniosek o wyjaśnienie treści Specyfikacji Warunków Zamówienia, SP  ZOZ  Centralny Szpital Kliniczny UM w Łodzi wyjaśnia co następuje:</w:t>
      </w:r>
    </w:p>
    <w:p w:rsidR="002A4679" w:rsidRPr="00F74A9C" w:rsidRDefault="002A4679">
      <w:pPr>
        <w:rPr>
          <w:rFonts w:asciiTheme="minorHAnsi" w:hAnsiTheme="minorHAnsi" w:cstheme="minorHAnsi"/>
          <w:sz w:val="24"/>
          <w:szCs w:val="24"/>
        </w:rPr>
      </w:pPr>
    </w:p>
    <w:p w:rsidR="001E09F3" w:rsidRPr="00F74A9C" w:rsidRDefault="001E09F3" w:rsidP="001E09F3">
      <w:pPr>
        <w:numPr>
          <w:ilvl w:val="0"/>
          <w:numId w:val="1"/>
        </w:numPr>
        <w:spacing w:after="11" w:line="302" w:lineRule="auto"/>
        <w:ind w:right="679" w:hanging="348"/>
        <w:jc w:val="both"/>
        <w:rPr>
          <w:rFonts w:asciiTheme="minorHAnsi" w:hAnsiTheme="minorHAnsi" w:cstheme="minorHAnsi"/>
          <w:sz w:val="24"/>
          <w:szCs w:val="24"/>
        </w:rPr>
      </w:pPr>
      <w:r w:rsidRPr="00F74A9C">
        <w:rPr>
          <w:rFonts w:asciiTheme="minorHAnsi" w:hAnsiTheme="minorHAnsi" w:cstheme="minorHAnsi"/>
          <w:sz w:val="24"/>
          <w:szCs w:val="24"/>
        </w:rPr>
        <w:t xml:space="preserve">Rozdział IV pkt 2 – zwracamy uwagę, że zgodnie z art. 99 ust. 6 ustawy Prawo zamówień publicznych opisowi przedmiotu zamówienia przez wskazanie znaków towarowych, patentów lub pochodzenia, źródła lub szczególnego procesu, który charakteryzuje produkty lub usługi dostarczane przez konkretnego wykonawcę, towarzyszyć musi wskazanie w opisie przedmiotu zamówienia kryteriów stosowanych w celu oceny równoważności. Nie jest zatem wystarczające wskazanie przez Zamawiającego, że przedmiot zamówienia winien posiadać „parametry jakościowe, techniczne i eksploatacyjne nie gorsze niż określone w przedmiocie zamówienia”. Wymóg, aby Wykonawca wykazał równoważność zaoferowanego przedmiotu, nie będzie mógł być spełniony, jeśli Zamawiający takich kryteriów równoważności wyraźnie nie określi. Wnosimy tym samym o podanie parametrów równoważności </w:t>
      </w:r>
    </w:p>
    <w:p w:rsidR="001E09F3" w:rsidRPr="00F74A9C" w:rsidRDefault="001E09F3" w:rsidP="001E09F3">
      <w:pPr>
        <w:spacing w:after="11" w:line="300" w:lineRule="auto"/>
        <w:ind w:right="679"/>
        <w:jc w:val="both"/>
        <w:rPr>
          <w:rFonts w:asciiTheme="minorHAnsi" w:eastAsia="Times New Roman" w:hAnsiTheme="minorHAnsi" w:cstheme="minorHAnsi"/>
          <w:color w:val="FF0000"/>
          <w:sz w:val="24"/>
          <w:szCs w:val="24"/>
          <w:lang w:eastAsia="pl-PL"/>
        </w:rPr>
      </w:pPr>
      <w:r w:rsidRPr="00F74A9C">
        <w:rPr>
          <w:rFonts w:asciiTheme="minorHAnsi" w:hAnsiTheme="minorHAnsi" w:cstheme="minorHAnsi"/>
          <w:color w:val="FF0000"/>
          <w:sz w:val="24"/>
          <w:szCs w:val="24"/>
        </w:rPr>
        <w:t xml:space="preserve">Odpowiedź: Zamawiający </w:t>
      </w:r>
      <w:r w:rsidRPr="00F74A9C">
        <w:rPr>
          <w:rFonts w:asciiTheme="minorHAnsi" w:eastAsia="Times New Roman" w:hAnsiTheme="minorHAnsi" w:cstheme="minorHAnsi"/>
          <w:color w:val="FF0000"/>
          <w:sz w:val="24"/>
          <w:szCs w:val="24"/>
          <w:lang w:eastAsia="pl-PL"/>
        </w:rPr>
        <w:t>o</w:t>
      </w:r>
      <w:r w:rsidRPr="00244D54">
        <w:rPr>
          <w:rFonts w:asciiTheme="minorHAnsi" w:eastAsia="Times New Roman" w:hAnsiTheme="minorHAnsi" w:cstheme="minorHAnsi"/>
          <w:color w:val="FF0000"/>
          <w:sz w:val="24"/>
          <w:szCs w:val="24"/>
          <w:lang w:eastAsia="pl-PL"/>
        </w:rPr>
        <w:t xml:space="preserve">pisując przedmiot zamówienia przez </w:t>
      </w:r>
      <w:r w:rsidRPr="00244D54">
        <w:rPr>
          <w:rFonts w:asciiTheme="minorHAnsi" w:eastAsia="Times New Roman" w:hAnsiTheme="minorHAnsi" w:cstheme="minorHAnsi"/>
          <w:b/>
          <w:color w:val="FF0000"/>
          <w:sz w:val="24"/>
          <w:szCs w:val="24"/>
          <w:lang w:eastAsia="pl-PL"/>
        </w:rPr>
        <w:t>odniesienie do norm, ocen technicznych, specyfikacji technicznych i systemów referencji technicznych,</w:t>
      </w:r>
      <w:r w:rsidRPr="00244D54">
        <w:rPr>
          <w:rFonts w:asciiTheme="minorHAnsi" w:eastAsia="Times New Roman" w:hAnsiTheme="minorHAnsi" w:cstheme="minorHAnsi"/>
          <w:color w:val="FF0000"/>
          <w:sz w:val="24"/>
          <w:szCs w:val="24"/>
          <w:lang w:eastAsia="pl-PL"/>
        </w:rPr>
        <w:t xml:space="preserve"> o których mowa w art. 101 ust.1 pkt 2 oraz ust. 3, wskazuje, że w każdej sytuacji, w której posłużył się w/w odniesieniami dopuszcza rozwiązania równoważne opisywanym, niezależnie od tego czy takiemu odniesieniu towarzyszą wyrazy „lub równoważne”.</w:t>
      </w:r>
    </w:p>
    <w:p w:rsidR="001E09F3" w:rsidRPr="00F74A9C" w:rsidRDefault="001E09F3" w:rsidP="001E09F3">
      <w:pPr>
        <w:jc w:val="both"/>
        <w:rPr>
          <w:rFonts w:asciiTheme="minorHAnsi" w:eastAsia="Times New Roman" w:hAnsiTheme="minorHAnsi" w:cstheme="minorHAnsi"/>
          <w:b/>
          <w:color w:val="FF0000"/>
          <w:sz w:val="24"/>
          <w:szCs w:val="24"/>
          <w:u w:val="single"/>
          <w:lang w:eastAsia="pl-PL"/>
        </w:rPr>
      </w:pPr>
      <w:r w:rsidRPr="00244D54">
        <w:rPr>
          <w:rFonts w:asciiTheme="minorHAnsi" w:eastAsia="Times New Roman" w:hAnsiTheme="minorHAnsi" w:cstheme="minorHAnsi"/>
          <w:color w:val="FF0000"/>
          <w:sz w:val="24"/>
          <w:szCs w:val="24"/>
          <w:lang w:eastAsia="pl-PL"/>
        </w:rPr>
        <w:t xml:space="preserve">W związku z powyższym Zamawiający </w:t>
      </w:r>
      <w:r w:rsidRPr="00244D54">
        <w:rPr>
          <w:rFonts w:asciiTheme="minorHAnsi" w:eastAsia="Times New Roman" w:hAnsiTheme="minorHAnsi" w:cstheme="minorHAnsi"/>
          <w:b/>
          <w:color w:val="FF0000"/>
          <w:sz w:val="24"/>
          <w:szCs w:val="24"/>
          <w:u w:val="single"/>
          <w:lang w:eastAsia="pl-PL"/>
        </w:rPr>
        <w:t xml:space="preserve">dopuszcza zaoferowanie w/w produktów </w:t>
      </w:r>
      <w:r w:rsidR="00F74A9C">
        <w:rPr>
          <w:rFonts w:asciiTheme="minorHAnsi" w:eastAsia="Times New Roman" w:hAnsiTheme="minorHAnsi" w:cstheme="minorHAnsi"/>
          <w:b/>
          <w:color w:val="FF0000"/>
          <w:sz w:val="24"/>
          <w:szCs w:val="24"/>
          <w:u w:val="single"/>
          <w:lang w:eastAsia="pl-PL"/>
        </w:rPr>
        <w:br/>
      </w:r>
      <w:r w:rsidRPr="00244D54">
        <w:rPr>
          <w:rFonts w:asciiTheme="minorHAnsi" w:eastAsia="Times New Roman" w:hAnsiTheme="minorHAnsi" w:cstheme="minorHAnsi"/>
          <w:b/>
          <w:color w:val="FF0000"/>
          <w:sz w:val="24"/>
          <w:szCs w:val="24"/>
          <w:u w:val="single"/>
          <w:lang w:eastAsia="pl-PL"/>
        </w:rPr>
        <w:t xml:space="preserve">lub równoważnych. Zapisy ustawy </w:t>
      </w:r>
      <w:proofErr w:type="spellStart"/>
      <w:r w:rsidRPr="00244D54">
        <w:rPr>
          <w:rFonts w:asciiTheme="minorHAnsi" w:eastAsia="Times New Roman" w:hAnsiTheme="minorHAnsi" w:cstheme="minorHAnsi"/>
          <w:b/>
          <w:color w:val="FF0000"/>
          <w:sz w:val="24"/>
          <w:szCs w:val="24"/>
          <w:u w:val="single"/>
          <w:lang w:eastAsia="pl-PL"/>
        </w:rPr>
        <w:t>Pzp</w:t>
      </w:r>
      <w:proofErr w:type="spellEnd"/>
      <w:r w:rsidRPr="00244D54">
        <w:rPr>
          <w:rFonts w:asciiTheme="minorHAnsi" w:eastAsia="Times New Roman" w:hAnsiTheme="minorHAnsi" w:cstheme="minorHAnsi"/>
          <w:b/>
          <w:color w:val="FF0000"/>
          <w:sz w:val="24"/>
          <w:szCs w:val="24"/>
          <w:u w:val="single"/>
          <w:lang w:eastAsia="pl-PL"/>
        </w:rPr>
        <w:t xml:space="preserve"> w w/w zakresie stosuje się. </w:t>
      </w:r>
    </w:p>
    <w:p w:rsidR="001E09F3" w:rsidRPr="00244D54" w:rsidRDefault="001E09F3" w:rsidP="001E09F3">
      <w:pPr>
        <w:jc w:val="both"/>
        <w:rPr>
          <w:rFonts w:asciiTheme="minorHAnsi" w:eastAsia="Times New Roman" w:hAnsiTheme="minorHAnsi" w:cstheme="minorHAnsi"/>
          <w:color w:val="FF0000"/>
          <w:sz w:val="24"/>
          <w:szCs w:val="24"/>
          <w:lang w:eastAsia="pl-PL"/>
        </w:rPr>
      </w:pPr>
      <w:r w:rsidRPr="00F74A9C">
        <w:rPr>
          <w:rFonts w:asciiTheme="minorHAnsi" w:eastAsia="Times New Roman" w:hAnsiTheme="minorHAnsi" w:cstheme="minorHAnsi"/>
          <w:color w:val="FF0000"/>
          <w:sz w:val="24"/>
          <w:szCs w:val="24"/>
          <w:lang w:eastAsia="pl-PL"/>
        </w:rPr>
        <w:t xml:space="preserve">Zastosowanie uniwersalnego zapisu odnoszącego się do zastosowanych w dokumentacji odniesień jest dopuszczane, co zostało potwierdzone przez Organy Kontrolne w procesie kontroli zamówień.    </w:t>
      </w:r>
    </w:p>
    <w:p w:rsidR="001E09F3" w:rsidRPr="00F74A9C" w:rsidRDefault="001E09F3">
      <w:pPr>
        <w:rPr>
          <w:rFonts w:asciiTheme="minorHAnsi" w:hAnsiTheme="minorHAnsi" w:cstheme="minorHAnsi"/>
          <w:sz w:val="24"/>
          <w:szCs w:val="24"/>
        </w:rPr>
      </w:pPr>
    </w:p>
    <w:p w:rsidR="001E09F3" w:rsidRPr="00F74A9C" w:rsidRDefault="001E09F3">
      <w:pPr>
        <w:rPr>
          <w:rFonts w:asciiTheme="minorHAnsi" w:hAnsiTheme="minorHAnsi" w:cstheme="minorHAnsi"/>
          <w:sz w:val="24"/>
          <w:szCs w:val="24"/>
        </w:rPr>
      </w:pPr>
    </w:p>
    <w:p w:rsidR="001E09F3" w:rsidRPr="001C7A77" w:rsidRDefault="001E09F3">
      <w:pPr>
        <w:rPr>
          <w:rFonts w:asciiTheme="minorHAnsi" w:hAnsiTheme="minorHAnsi" w:cstheme="minorHAnsi"/>
          <w:sz w:val="24"/>
          <w:szCs w:val="24"/>
        </w:rPr>
      </w:pPr>
    </w:p>
    <w:p w:rsidR="001E09F3" w:rsidRPr="001C7A77" w:rsidRDefault="001E09F3" w:rsidP="00F74A9C">
      <w:pPr>
        <w:pStyle w:val="Akapitzlist"/>
        <w:numPr>
          <w:ilvl w:val="0"/>
          <w:numId w:val="1"/>
        </w:numPr>
        <w:spacing w:after="11" w:line="302" w:lineRule="auto"/>
        <w:ind w:right="679"/>
        <w:jc w:val="both"/>
        <w:rPr>
          <w:rFonts w:asciiTheme="minorHAnsi" w:hAnsiTheme="minorHAnsi" w:cstheme="minorHAnsi"/>
          <w:color w:val="auto"/>
          <w:sz w:val="24"/>
          <w:szCs w:val="24"/>
        </w:rPr>
      </w:pPr>
      <w:proofErr w:type="spellStart"/>
      <w:r w:rsidRPr="001C7A77">
        <w:rPr>
          <w:rFonts w:asciiTheme="minorHAnsi" w:hAnsiTheme="minorHAnsi" w:cstheme="minorHAnsi"/>
          <w:color w:val="auto"/>
          <w:sz w:val="24"/>
          <w:szCs w:val="24"/>
        </w:rPr>
        <w:t>Rozdział</w:t>
      </w:r>
      <w:proofErr w:type="spellEnd"/>
      <w:r w:rsidRPr="001C7A77">
        <w:rPr>
          <w:rFonts w:asciiTheme="minorHAnsi" w:hAnsiTheme="minorHAnsi" w:cstheme="minorHAnsi"/>
          <w:color w:val="auto"/>
          <w:sz w:val="24"/>
          <w:szCs w:val="24"/>
        </w:rPr>
        <w:t xml:space="preserve"> IV </w:t>
      </w:r>
      <w:proofErr w:type="spellStart"/>
      <w:r w:rsidRPr="001C7A77">
        <w:rPr>
          <w:rFonts w:asciiTheme="minorHAnsi" w:hAnsiTheme="minorHAnsi" w:cstheme="minorHAnsi"/>
          <w:color w:val="auto"/>
          <w:sz w:val="24"/>
          <w:szCs w:val="24"/>
        </w:rPr>
        <w:t>pkt</w:t>
      </w:r>
      <w:proofErr w:type="spellEnd"/>
      <w:r w:rsidRPr="001C7A77">
        <w:rPr>
          <w:rFonts w:asciiTheme="minorHAnsi" w:hAnsiTheme="minorHAnsi" w:cstheme="minorHAnsi"/>
          <w:color w:val="auto"/>
          <w:sz w:val="24"/>
          <w:szCs w:val="24"/>
        </w:rPr>
        <w:t xml:space="preserve"> 4, sekcja „Prawo opcji” – wnosimy o sprecyzowanie terminu na wykonanie prac objętych prawem opcji. </w:t>
      </w:r>
    </w:p>
    <w:p w:rsidR="001E09F3" w:rsidRPr="00F74A9C" w:rsidRDefault="001E09F3" w:rsidP="001E09F3">
      <w:pPr>
        <w:pStyle w:val="Akapitzlist"/>
        <w:rPr>
          <w:rFonts w:asciiTheme="minorHAnsi" w:hAnsiTheme="minorHAnsi" w:cstheme="minorHAnsi"/>
          <w:sz w:val="24"/>
          <w:szCs w:val="24"/>
        </w:rPr>
      </w:pPr>
    </w:p>
    <w:p w:rsidR="001E09F3" w:rsidRPr="00F74A9C" w:rsidRDefault="001E09F3" w:rsidP="001C7A77">
      <w:pPr>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Odpowiedź: Zamawiający usuwa zapisy dot. prawa opcji. Zapis nie obowiązuje.</w:t>
      </w:r>
    </w:p>
    <w:p w:rsidR="001E09F3" w:rsidRPr="00F74A9C" w:rsidRDefault="001E09F3" w:rsidP="001E09F3">
      <w:pPr>
        <w:spacing w:after="11" w:line="302" w:lineRule="auto"/>
        <w:ind w:right="679"/>
        <w:jc w:val="both"/>
        <w:rPr>
          <w:rFonts w:asciiTheme="minorHAnsi" w:hAnsiTheme="minorHAnsi" w:cstheme="minorHAnsi"/>
          <w:sz w:val="24"/>
          <w:szCs w:val="24"/>
        </w:rPr>
      </w:pPr>
    </w:p>
    <w:p w:rsidR="001E09F3" w:rsidRPr="00F74A9C" w:rsidRDefault="001E09F3" w:rsidP="00F74A9C">
      <w:pPr>
        <w:numPr>
          <w:ilvl w:val="0"/>
          <w:numId w:val="1"/>
        </w:numPr>
        <w:spacing w:after="11" w:line="302" w:lineRule="auto"/>
        <w:ind w:right="679" w:hanging="348"/>
        <w:jc w:val="both"/>
        <w:rPr>
          <w:rFonts w:asciiTheme="minorHAnsi" w:hAnsiTheme="minorHAnsi" w:cstheme="minorHAnsi"/>
          <w:sz w:val="24"/>
          <w:szCs w:val="24"/>
        </w:rPr>
      </w:pPr>
      <w:r w:rsidRPr="00F74A9C">
        <w:rPr>
          <w:rFonts w:asciiTheme="minorHAnsi" w:hAnsiTheme="minorHAnsi" w:cstheme="minorHAnsi"/>
          <w:sz w:val="24"/>
          <w:szCs w:val="24"/>
        </w:rPr>
        <w:t xml:space="preserve">W Rozdziale VIII, w sekcji „Wykaz oświadczeń i dokumentów składanych przez Wykonawcę wraz z ofertą – I etap” Zamawiający wskazał, iż Wykonawca </w:t>
      </w:r>
      <w:r w:rsidRPr="00F74A9C">
        <w:rPr>
          <w:rFonts w:asciiTheme="minorHAnsi" w:hAnsiTheme="minorHAnsi" w:cstheme="minorHAnsi"/>
          <w:sz w:val="24"/>
          <w:szCs w:val="24"/>
          <w:u w:val="single" w:color="000000"/>
        </w:rPr>
        <w:t>nie jest obowiązany</w:t>
      </w:r>
      <w:r w:rsidRPr="00F74A9C">
        <w:rPr>
          <w:rFonts w:asciiTheme="minorHAnsi" w:hAnsiTheme="minorHAnsi" w:cstheme="minorHAnsi"/>
          <w:sz w:val="24"/>
          <w:szCs w:val="24"/>
        </w:rPr>
        <w:t xml:space="preserve"> do złożenia wraz z ofertą oświadczenia o niepodleganiu wykluczeniu, spełnieniu warunków udziału w postępowaniu, o którym mowa w art. 125 ust. 1 ustawy, w Rozdziale IX pkt I </w:t>
      </w:r>
      <w:proofErr w:type="spellStart"/>
      <w:r w:rsidRPr="00F74A9C">
        <w:rPr>
          <w:rFonts w:asciiTheme="minorHAnsi" w:hAnsiTheme="minorHAnsi" w:cstheme="minorHAnsi"/>
          <w:sz w:val="24"/>
          <w:szCs w:val="24"/>
        </w:rPr>
        <w:t>ppkt</w:t>
      </w:r>
      <w:proofErr w:type="spellEnd"/>
      <w:r w:rsidRPr="00F74A9C">
        <w:rPr>
          <w:rFonts w:asciiTheme="minorHAnsi" w:hAnsiTheme="minorHAnsi" w:cstheme="minorHAnsi"/>
          <w:sz w:val="24"/>
          <w:szCs w:val="24"/>
        </w:rPr>
        <w:t xml:space="preserve"> 1.1 natomiast, dotyczącym podmiotowych środków dowodowych składanych w odpowiedzi na wezwanie zamawiającego – iż „Oświadczenie (JEDZ) do oferty wykonawca </w:t>
      </w:r>
      <w:r w:rsidRPr="00F74A9C">
        <w:rPr>
          <w:rFonts w:asciiTheme="minorHAnsi" w:hAnsiTheme="minorHAnsi" w:cstheme="minorHAnsi"/>
          <w:sz w:val="24"/>
          <w:szCs w:val="24"/>
          <w:u w:val="single" w:color="000000"/>
        </w:rPr>
        <w:t>dołącza oświadczenie</w:t>
      </w:r>
      <w:r w:rsidRPr="00F74A9C">
        <w:rPr>
          <w:rFonts w:asciiTheme="minorHAnsi" w:hAnsiTheme="minorHAnsi" w:cstheme="minorHAnsi"/>
          <w:sz w:val="24"/>
          <w:szCs w:val="24"/>
        </w:rPr>
        <w:t xml:space="preserve"> o niepodleganiu wykluczeniu, spełnianiu warunków udziału w postępowaniu, w zakresie wskazanym przez zamawiającego – Załącznik nr 7”. Prosimy o wyjaśnienie rozbieżności.  </w:t>
      </w:r>
    </w:p>
    <w:p w:rsidR="001E09F3" w:rsidRPr="00F74A9C" w:rsidRDefault="001E09F3" w:rsidP="001E09F3">
      <w:pPr>
        <w:spacing w:after="11" w:line="302" w:lineRule="auto"/>
        <w:ind w:left="693" w:right="679"/>
        <w:jc w:val="both"/>
        <w:rPr>
          <w:rFonts w:asciiTheme="minorHAnsi" w:hAnsiTheme="minorHAnsi" w:cstheme="minorHAnsi"/>
          <w:color w:val="538135" w:themeColor="accent6" w:themeShade="BF"/>
          <w:sz w:val="24"/>
          <w:szCs w:val="24"/>
        </w:rPr>
      </w:pPr>
    </w:p>
    <w:p w:rsidR="001E09F3" w:rsidRPr="00F74A9C" w:rsidRDefault="001E09F3" w:rsidP="001E09F3">
      <w:pPr>
        <w:spacing w:line="260" w:lineRule="atLeast"/>
        <w:jc w:val="both"/>
        <w:rPr>
          <w:rFonts w:asciiTheme="minorHAnsi" w:hAnsiTheme="minorHAnsi" w:cstheme="minorHAnsi"/>
          <w:bCs/>
          <w:color w:val="FF0000"/>
          <w:sz w:val="24"/>
          <w:szCs w:val="24"/>
        </w:rPr>
      </w:pPr>
      <w:r w:rsidRPr="00F74A9C">
        <w:rPr>
          <w:rFonts w:asciiTheme="minorHAnsi" w:hAnsiTheme="minorHAnsi" w:cstheme="minorHAnsi"/>
          <w:bCs/>
          <w:color w:val="FF0000"/>
          <w:sz w:val="24"/>
          <w:szCs w:val="24"/>
        </w:rPr>
        <w:t xml:space="preserve">Odpowiedź: WYKAZ OŚWIADCZEŃ I DOKUMENTÓW SKŁADANYCH PRZEZ WYKONAWCĘ WRAZ Z OFERTĄ – I etap </w:t>
      </w:r>
    </w:p>
    <w:p w:rsidR="001E09F3" w:rsidRPr="00F74A9C" w:rsidRDefault="001E09F3" w:rsidP="001E09F3">
      <w:pPr>
        <w:autoSpaceDE w:val="0"/>
        <w:autoSpaceDN w:val="0"/>
        <w:adjustRightInd w:val="0"/>
        <w:jc w:val="both"/>
        <w:rPr>
          <w:rFonts w:asciiTheme="minorHAnsi" w:eastAsia="Univers-PL" w:hAnsiTheme="minorHAnsi" w:cstheme="minorHAnsi"/>
          <w:bCs/>
          <w:iCs/>
          <w:color w:val="FF0000"/>
          <w:sz w:val="24"/>
          <w:szCs w:val="24"/>
        </w:rPr>
      </w:pPr>
      <w:r w:rsidRPr="00F74A9C">
        <w:rPr>
          <w:rFonts w:asciiTheme="minorHAnsi" w:eastAsia="Univers-PL" w:hAnsiTheme="minorHAnsi" w:cstheme="minorHAnsi"/>
          <w:bCs/>
          <w:iCs/>
          <w:color w:val="FF0000"/>
          <w:sz w:val="24"/>
          <w:szCs w:val="24"/>
        </w:rPr>
        <w:t xml:space="preserve">Wykonawca jest zobowiązany do składania n/w dokumentów i oświadczeń wraz z ofertą </w:t>
      </w:r>
      <w:r w:rsidRPr="00F74A9C">
        <w:rPr>
          <w:rFonts w:asciiTheme="minorHAnsi" w:eastAsia="Univers-PL" w:hAnsiTheme="minorHAnsi" w:cstheme="minorHAnsi"/>
          <w:bCs/>
          <w:iCs/>
          <w:color w:val="FF0000"/>
          <w:sz w:val="24"/>
          <w:szCs w:val="24"/>
        </w:rPr>
        <w:br/>
        <w:t xml:space="preserve">(dot. załączników nr 1 – 6).  </w:t>
      </w:r>
    </w:p>
    <w:p w:rsidR="001E09F3" w:rsidRPr="00F74A9C" w:rsidRDefault="001E09F3" w:rsidP="001E09F3">
      <w:pPr>
        <w:tabs>
          <w:tab w:val="left" w:pos="851"/>
        </w:tabs>
        <w:spacing w:after="120" w:line="312" w:lineRule="auto"/>
        <w:jc w:val="both"/>
        <w:rPr>
          <w:rFonts w:asciiTheme="minorHAnsi" w:eastAsia="Times New Roman" w:hAnsiTheme="minorHAnsi" w:cstheme="minorHAnsi"/>
          <w:bCs/>
          <w:color w:val="FF0000"/>
          <w:sz w:val="24"/>
          <w:szCs w:val="24"/>
        </w:rPr>
      </w:pPr>
      <w:r w:rsidRPr="00F74A9C">
        <w:rPr>
          <w:rFonts w:asciiTheme="minorHAnsi" w:eastAsia="Times New Roman" w:hAnsiTheme="minorHAnsi" w:cstheme="minorHAnsi"/>
          <w:bCs/>
          <w:color w:val="FF0000"/>
          <w:sz w:val="24"/>
          <w:szCs w:val="24"/>
        </w:rPr>
        <w:t>WYKAZ PODMIOTOWYCH ŚRODKÓW DOWODOWYCH SKŁADANYCH W ODPOWIEDZI NA WEZWANIE ZAMAWIAJĄCEGO PRZEZ WYKONAWCĘ, KTÓREGO OFERTA ZOSTANIE NAJWYŻEJ OCENIONA – II etap tj. (załączniki nr 7– 15)</w:t>
      </w:r>
    </w:p>
    <w:p w:rsidR="001E09F3" w:rsidRPr="00F74A9C" w:rsidRDefault="001E09F3" w:rsidP="001E09F3">
      <w:pPr>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 xml:space="preserve">Tak więc na wezwanie Zamawiającego Wykonawca składa załączniki 7-15, w tym m.in. JEDZ stanowiący załącznik nr 7. </w:t>
      </w:r>
    </w:p>
    <w:p w:rsidR="001E09F3" w:rsidRPr="00F74A9C" w:rsidRDefault="001E09F3" w:rsidP="001E09F3">
      <w:pPr>
        <w:spacing w:after="11" w:line="302" w:lineRule="auto"/>
        <w:ind w:left="693" w:right="679"/>
        <w:jc w:val="both"/>
        <w:rPr>
          <w:rFonts w:asciiTheme="minorHAnsi" w:hAnsiTheme="minorHAnsi" w:cstheme="minorHAnsi"/>
          <w:color w:val="538135" w:themeColor="accent6" w:themeShade="BF"/>
          <w:sz w:val="24"/>
          <w:szCs w:val="24"/>
        </w:rPr>
      </w:pPr>
    </w:p>
    <w:p w:rsidR="001E09F3" w:rsidRPr="001C7A77" w:rsidRDefault="001E09F3" w:rsidP="00D408AB">
      <w:pPr>
        <w:numPr>
          <w:ilvl w:val="0"/>
          <w:numId w:val="1"/>
        </w:numPr>
        <w:spacing w:after="112" w:line="256" w:lineRule="auto"/>
        <w:ind w:left="720" w:right="679" w:hanging="348"/>
        <w:jc w:val="both"/>
        <w:rPr>
          <w:rFonts w:asciiTheme="minorHAnsi" w:hAnsiTheme="minorHAnsi" w:cstheme="minorHAnsi"/>
          <w:sz w:val="24"/>
          <w:szCs w:val="24"/>
        </w:rPr>
      </w:pPr>
      <w:r w:rsidRPr="001C7A77">
        <w:rPr>
          <w:rFonts w:asciiTheme="minorHAnsi" w:hAnsiTheme="minorHAnsi" w:cstheme="minorHAnsi"/>
          <w:sz w:val="24"/>
          <w:szCs w:val="24"/>
        </w:rPr>
        <w:t xml:space="preserve">Rozdział XVII pkt 13 zdanie trzecie – Wykonawca, podając cenę ofertową, określa koszty związane z realizacją przedmiotu zamówienia, tj. określonego kompleksu robót budowlanych, który Zamawiający wyznacza zgodnie z art. 103 ust. 1 i 2 PZP na podstawie dokumentacji projektowej oraz specyfikacji technicznych wykonania i odbioru robót budowlanych lub za pomocą programu funkcjonalno-użytkowego. To Zamawiający określa zatem, co podlega wycenie dokonywanej przez Wykonawcę. Wskazanie, iż ewentualne późniejsze korekty dokumentacji (a więc dokonanie zmiany przedmiotu zamówienia), objęte </w:t>
      </w:r>
      <w:r w:rsidRPr="001C7A77">
        <w:rPr>
          <w:rFonts w:asciiTheme="minorHAnsi" w:hAnsiTheme="minorHAnsi" w:cstheme="minorHAnsi"/>
          <w:sz w:val="24"/>
          <w:szCs w:val="24"/>
        </w:rPr>
        <w:lastRenderedPageBreak/>
        <w:t>miałyby być pierwotnym ryczałtem, stanowi naruszenie art. 103 ust. 1 lub 2 PZP, Zamawiający dążyłby bowiem do przyjęcia, że przedmiot zamówienia wykracza poza treść dokumentów wskazanych w ustawie. Również takie rozumienie komentowanego fragmentu, które dotyczyłoby korekt wynikających z wad dokumentacji projektowej, nie uzasadnia objęcia ich pierwotnym wynagrodzeniem ryczałtowym. Wykonawca nie odpowiada za prawidłowość przekazanej mu dokumentacji projektowej w zakresie, w jakim wymagałby wiedzy specjalistycznej. Ponadto, już na gruncie poprzednio obowiązującej ustawy Prawo zamówień publicznych wyrażono pogląd, zachowujący aktualność również obecnie, że: „Obciążające wykonawcę ryzyko nieprzewidzenia rozmiaru lub kosztów prac będące w świetle art. 632 § 1 KC cechą wynagrodzenia ryczałtowego doznaje modyfikacji na gruncie ustawy z dnia 29 stycznia 2004 r. - Prawo zamówień publicznych (</w:t>
      </w:r>
      <w:proofErr w:type="spellStart"/>
      <w:r w:rsidRPr="001C7A77">
        <w:rPr>
          <w:rFonts w:asciiTheme="minorHAnsi" w:hAnsiTheme="minorHAnsi" w:cstheme="minorHAnsi"/>
          <w:sz w:val="24"/>
          <w:szCs w:val="24"/>
        </w:rPr>
        <w:t>t.j</w:t>
      </w:r>
      <w:proofErr w:type="spellEnd"/>
      <w:r w:rsidRPr="001C7A77">
        <w:rPr>
          <w:rFonts w:asciiTheme="minorHAnsi" w:hAnsiTheme="minorHAnsi" w:cstheme="minorHAnsi"/>
          <w:sz w:val="24"/>
          <w:szCs w:val="24"/>
        </w:rPr>
        <w:t xml:space="preserve">. Dz.U. z 2010 r. Nr 113, poz. 759 ze zm.). Wykonawcy nie może bowiem obciążać ryzyko nieprzewidzenia rozmiaru prac czy ich kosztów będące wynikiem opisu przedmiotu zamówienia naruszającego art. 29 i art. 31 ustawy. Należy również pamiętać, że w świetle art. 140 ust. 3 ustawy umowa o udzielenie zamówienia publicznego podlega unieważnieniu w części wykraczającej poza określenie przedmiotu zamówienia zawarte w specyfikacji istotnych warunków” (KIO 809/12). Mając na uwadze powyższe, wnosimy o usunięcie treści zdania trzeciego Rozdziału XVII pkt 13 </w:t>
      </w:r>
    </w:p>
    <w:p w:rsidR="001E09F3" w:rsidRPr="00F74A9C" w:rsidRDefault="001E09F3">
      <w:pPr>
        <w:rPr>
          <w:rFonts w:asciiTheme="minorHAnsi" w:hAnsiTheme="minorHAnsi" w:cstheme="minorHAnsi"/>
          <w:sz w:val="24"/>
          <w:szCs w:val="24"/>
        </w:rPr>
      </w:pPr>
    </w:p>
    <w:p w:rsidR="001E09F3" w:rsidRPr="00F74A9C" w:rsidRDefault="001E09F3" w:rsidP="001C7A77">
      <w:pPr>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Odpowiedź: Zamawiający usuwa zapis.</w:t>
      </w:r>
    </w:p>
    <w:p w:rsidR="001E09F3" w:rsidRPr="00F74A9C" w:rsidRDefault="001E09F3">
      <w:pPr>
        <w:rPr>
          <w:rFonts w:asciiTheme="minorHAnsi" w:hAnsiTheme="minorHAnsi" w:cstheme="minorHAnsi"/>
          <w:sz w:val="24"/>
          <w:szCs w:val="24"/>
        </w:rPr>
      </w:pPr>
    </w:p>
    <w:p w:rsidR="001E09F3" w:rsidRPr="00F74A9C" w:rsidRDefault="001E09F3" w:rsidP="001E09F3">
      <w:pPr>
        <w:ind w:left="720" w:right="679"/>
        <w:rPr>
          <w:rFonts w:asciiTheme="minorHAnsi" w:hAnsiTheme="minorHAnsi" w:cstheme="minorHAnsi"/>
          <w:strike/>
          <w:sz w:val="24"/>
          <w:szCs w:val="24"/>
        </w:rPr>
      </w:pPr>
    </w:p>
    <w:p w:rsidR="001E09F3" w:rsidRPr="00F74A9C" w:rsidRDefault="001E09F3" w:rsidP="001E09F3">
      <w:pPr>
        <w:numPr>
          <w:ilvl w:val="0"/>
          <w:numId w:val="1"/>
        </w:numPr>
        <w:spacing w:after="11" w:line="302" w:lineRule="auto"/>
        <w:ind w:right="679" w:hanging="348"/>
        <w:jc w:val="both"/>
        <w:rPr>
          <w:rFonts w:asciiTheme="minorHAnsi" w:hAnsiTheme="minorHAnsi" w:cstheme="minorHAnsi"/>
          <w:sz w:val="24"/>
          <w:szCs w:val="24"/>
        </w:rPr>
      </w:pPr>
      <w:r w:rsidRPr="00F74A9C">
        <w:rPr>
          <w:rFonts w:asciiTheme="minorHAnsi" w:hAnsiTheme="minorHAnsi" w:cstheme="minorHAnsi"/>
          <w:sz w:val="24"/>
          <w:szCs w:val="24"/>
        </w:rPr>
        <w:t xml:space="preserve">Rozdział XIX pkt 9 – wnosimy o udostępnienie wymagań w zakresie bezpieczeństwa i higieny pracy oraz bezpieczeństwa i ochrony zdrowia, obowiązującymi w CSK UM, dotyczących wszystkich dostawców towarów i materiałów, już na etapie postępowania przetargowego; wskazany wzór umowy nie zawiera załącznika nr 2, który zawierać ma regulacje we wskazanym zakresie </w:t>
      </w:r>
    </w:p>
    <w:p w:rsidR="001E09F3" w:rsidRPr="00F74A9C" w:rsidRDefault="001E09F3" w:rsidP="001E09F3">
      <w:pPr>
        <w:spacing w:after="11" w:line="302" w:lineRule="auto"/>
        <w:ind w:right="679"/>
        <w:jc w:val="both"/>
        <w:rPr>
          <w:rFonts w:asciiTheme="minorHAnsi" w:hAnsiTheme="minorHAnsi" w:cstheme="minorHAnsi"/>
          <w:color w:val="FF0000"/>
          <w:sz w:val="24"/>
          <w:szCs w:val="24"/>
        </w:rPr>
      </w:pPr>
    </w:p>
    <w:p w:rsidR="001E09F3" w:rsidRPr="00F74A9C" w:rsidRDefault="001E09F3" w:rsidP="001C7A77">
      <w:pPr>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 xml:space="preserve">Odpowiedź: Zamawiający koryguje, zapisy dotyczą załącznika nr 4 do umowy. </w:t>
      </w:r>
    </w:p>
    <w:p w:rsidR="001E09F3" w:rsidRPr="00F74A9C" w:rsidRDefault="001E09F3" w:rsidP="001E09F3">
      <w:pPr>
        <w:tabs>
          <w:tab w:val="left" w:pos="142"/>
          <w:tab w:val="left" w:pos="284"/>
          <w:tab w:val="left" w:pos="851"/>
        </w:tabs>
        <w:spacing w:after="11" w:line="302" w:lineRule="auto"/>
        <w:ind w:left="284" w:right="679" w:hanging="284"/>
        <w:jc w:val="both"/>
        <w:rPr>
          <w:rFonts w:asciiTheme="minorHAnsi" w:hAnsiTheme="minorHAnsi" w:cstheme="minorHAnsi"/>
          <w:color w:val="FF0000"/>
          <w:sz w:val="24"/>
          <w:szCs w:val="24"/>
        </w:rPr>
      </w:pPr>
    </w:p>
    <w:p w:rsidR="001E09F3" w:rsidRPr="00F74A9C" w:rsidRDefault="001E09F3" w:rsidP="00F74A9C">
      <w:pPr>
        <w:pStyle w:val="Akapitzlist"/>
        <w:numPr>
          <w:ilvl w:val="0"/>
          <w:numId w:val="1"/>
        </w:numPr>
        <w:tabs>
          <w:tab w:val="left" w:pos="142"/>
          <w:tab w:val="left" w:pos="284"/>
        </w:tabs>
        <w:spacing w:after="11" w:line="302" w:lineRule="auto"/>
        <w:ind w:right="679"/>
        <w:jc w:val="both"/>
        <w:rPr>
          <w:rFonts w:asciiTheme="minorHAnsi" w:hAnsiTheme="minorHAnsi" w:cstheme="minorHAnsi"/>
          <w:sz w:val="24"/>
          <w:szCs w:val="24"/>
        </w:rPr>
      </w:pPr>
      <w:r w:rsidRPr="00F74A9C">
        <w:rPr>
          <w:rFonts w:asciiTheme="minorHAnsi" w:hAnsiTheme="minorHAnsi" w:cstheme="minorHAnsi"/>
          <w:sz w:val="24"/>
          <w:szCs w:val="24"/>
        </w:rPr>
        <w:t xml:space="preserve">Par. 2 ust. 14: wnosimy o weryfikację odwołania wskazanego w niniejszym ust. Wydaje się, że prawidłowym odwołaniem wydaje się być odwołanie do par. 17 umowy (zmiana umowy). </w:t>
      </w:r>
    </w:p>
    <w:p w:rsidR="001E09F3" w:rsidRPr="00F74A9C" w:rsidRDefault="001E09F3" w:rsidP="001E09F3">
      <w:pPr>
        <w:tabs>
          <w:tab w:val="left" w:pos="142"/>
          <w:tab w:val="left" w:pos="284"/>
        </w:tabs>
        <w:spacing w:after="11" w:line="302" w:lineRule="auto"/>
        <w:ind w:left="284" w:right="679"/>
        <w:jc w:val="both"/>
        <w:rPr>
          <w:rFonts w:asciiTheme="minorHAnsi" w:hAnsiTheme="minorHAnsi" w:cstheme="minorHAnsi"/>
          <w:sz w:val="24"/>
          <w:szCs w:val="24"/>
        </w:rPr>
      </w:pPr>
    </w:p>
    <w:p w:rsidR="001E09F3" w:rsidRPr="00F74A9C" w:rsidRDefault="001E09F3" w:rsidP="001E09F3">
      <w:pPr>
        <w:tabs>
          <w:tab w:val="left" w:pos="142"/>
          <w:tab w:val="left" w:pos="284"/>
        </w:tabs>
        <w:spacing w:after="11" w:line="302" w:lineRule="auto"/>
        <w:ind w:left="284" w:right="679" w:hanging="142"/>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ab/>
      </w:r>
      <w:r w:rsidRPr="00F74A9C">
        <w:rPr>
          <w:rFonts w:asciiTheme="minorHAnsi" w:hAnsiTheme="minorHAnsi" w:cstheme="minorHAnsi"/>
          <w:color w:val="FF0000"/>
          <w:sz w:val="24"/>
          <w:szCs w:val="24"/>
        </w:rPr>
        <w:tab/>
        <w:t>Odpowiedź: Zamawiający dokonał korekt umów.</w:t>
      </w:r>
    </w:p>
    <w:p w:rsidR="001E09F3" w:rsidRPr="00F74A9C" w:rsidRDefault="001E09F3" w:rsidP="001E09F3">
      <w:pPr>
        <w:tabs>
          <w:tab w:val="left" w:pos="142"/>
          <w:tab w:val="left" w:pos="284"/>
        </w:tabs>
        <w:spacing w:after="11" w:line="302" w:lineRule="auto"/>
        <w:ind w:left="284" w:right="679" w:hanging="142"/>
        <w:jc w:val="both"/>
        <w:rPr>
          <w:rFonts w:asciiTheme="minorHAnsi" w:hAnsiTheme="minorHAnsi" w:cstheme="minorHAnsi"/>
          <w:color w:val="FF0000"/>
          <w:sz w:val="24"/>
          <w:szCs w:val="24"/>
        </w:rPr>
      </w:pPr>
    </w:p>
    <w:p w:rsidR="001E09F3" w:rsidRPr="00F74A9C" w:rsidRDefault="001E09F3">
      <w:pPr>
        <w:rPr>
          <w:rFonts w:asciiTheme="minorHAnsi" w:hAnsiTheme="minorHAnsi" w:cstheme="minorHAnsi"/>
          <w:sz w:val="24"/>
          <w:szCs w:val="24"/>
        </w:rPr>
      </w:pPr>
    </w:p>
    <w:p w:rsidR="001E09F3" w:rsidRPr="00F74A9C" w:rsidRDefault="001E09F3" w:rsidP="001E09F3">
      <w:pPr>
        <w:tabs>
          <w:tab w:val="left" w:pos="142"/>
          <w:tab w:val="left" w:pos="284"/>
        </w:tabs>
        <w:spacing w:after="11" w:line="302" w:lineRule="auto"/>
        <w:ind w:left="345" w:right="679"/>
        <w:jc w:val="both"/>
        <w:rPr>
          <w:rFonts w:asciiTheme="minorHAnsi" w:hAnsiTheme="minorHAnsi" w:cstheme="minorHAnsi"/>
          <w:color w:val="FF0000"/>
          <w:sz w:val="24"/>
          <w:szCs w:val="24"/>
        </w:rPr>
      </w:pPr>
    </w:p>
    <w:p w:rsidR="001E09F3" w:rsidRPr="00F74A9C" w:rsidRDefault="001E09F3" w:rsidP="00F74A9C">
      <w:pPr>
        <w:numPr>
          <w:ilvl w:val="0"/>
          <w:numId w:val="1"/>
        </w:numPr>
        <w:tabs>
          <w:tab w:val="left" w:pos="142"/>
          <w:tab w:val="left" w:pos="284"/>
        </w:tabs>
        <w:spacing w:after="11" w:line="302" w:lineRule="auto"/>
        <w:ind w:left="426" w:right="679" w:hanging="426"/>
        <w:jc w:val="both"/>
        <w:rPr>
          <w:rFonts w:asciiTheme="minorHAnsi" w:hAnsiTheme="minorHAnsi" w:cstheme="minorHAnsi"/>
          <w:sz w:val="24"/>
          <w:szCs w:val="24"/>
        </w:rPr>
      </w:pPr>
      <w:r w:rsidRPr="00F74A9C">
        <w:rPr>
          <w:rFonts w:asciiTheme="minorHAnsi" w:hAnsiTheme="minorHAnsi" w:cstheme="minorHAnsi"/>
          <w:sz w:val="24"/>
          <w:szCs w:val="24"/>
        </w:rPr>
        <w:t xml:space="preserve">Par. 14 ust. 1 i ust. 4  wzoru umowy: Zgodnie z obowiązującym orzecznictwem, odbiór i zapłata Wykonawcy wynagrodzenia nie powinna być uzależniona od usunięcia wszystkich wad i usterek ujawnionych przy odbiorze. W przypadku ujawnienia się wad nieistotnych, strony powinny podpisać protokół odbioru robót wraz z listą wad i usterek oraz terminem na ich wykonanie. W związku z powyższym, wnosimy o zastąpienie słów "bez zastrzeżeń" słowami "bez wad istotnych". </w:t>
      </w:r>
    </w:p>
    <w:p w:rsidR="001E09F3" w:rsidRPr="00F74A9C" w:rsidRDefault="001E09F3" w:rsidP="001E09F3">
      <w:pPr>
        <w:tabs>
          <w:tab w:val="left" w:pos="142"/>
          <w:tab w:val="left" w:pos="284"/>
        </w:tabs>
        <w:spacing w:after="11" w:line="302" w:lineRule="auto"/>
        <w:ind w:right="679"/>
        <w:jc w:val="both"/>
        <w:rPr>
          <w:rFonts w:asciiTheme="minorHAnsi" w:hAnsiTheme="minorHAnsi" w:cstheme="minorHAnsi"/>
          <w:sz w:val="24"/>
          <w:szCs w:val="24"/>
        </w:rPr>
      </w:pPr>
    </w:p>
    <w:p w:rsidR="001E09F3" w:rsidRPr="00F74A9C" w:rsidRDefault="001E09F3" w:rsidP="001E09F3">
      <w:pPr>
        <w:tabs>
          <w:tab w:val="left" w:pos="142"/>
          <w:tab w:val="left" w:pos="284"/>
        </w:tabs>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Odpowiedź: Zamawiający dokonał korekt umów.</w:t>
      </w:r>
    </w:p>
    <w:p w:rsidR="001E09F3" w:rsidRPr="00F74A9C" w:rsidRDefault="001E09F3">
      <w:pPr>
        <w:rPr>
          <w:rFonts w:asciiTheme="minorHAnsi" w:hAnsiTheme="minorHAnsi" w:cstheme="minorHAnsi"/>
          <w:sz w:val="24"/>
          <w:szCs w:val="24"/>
        </w:rPr>
      </w:pPr>
    </w:p>
    <w:p w:rsidR="001E09F3" w:rsidRPr="00F74A9C" w:rsidRDefault="001E09F3" w:rsidP="001E09F3">
      <w:pPr>
        <w:ind w:firstLine="708"/>
        <w:jc w:val="both"/>
        <w:rPr>
          <w:rFonts w:asciiTheme="minorHAnsi" w:eastAsia="Times New Roman" w:hAnsiTheme="minorHAnsi" w:cstheme="minorHAnsi"/>
          <w:sz w:val="24"/>
          <w:szCs w:val="24"/>
          <w:u w:val="single"/>
          <w:lang w:eastAsia="ar-SA"/>
        </w:rPr>
      </w:pPr>
    </w:p>
    <w:p w:rsidR="001E09F3" w:rsidRDefault="001E09F3" w:rsidP="00F74A9C">
      <w:pPr>
        <w:pStyle w:val="Akapitzlist"/>
        <w:numPr>
          <w:ilvl w:val="0"/>
          <w:numId w:val="1"/>
        </w:numPr>
        <w:autoSpaceDE w:val="0"/>
        <w:autoSpaceDN w:val="0"/>
        <w:adjustRightInd w:val="0"/>
        <w:spacing w:after="68"/>
        <w:rPr>
          <w:rFonts w:asciiTheme="minorHAnsi" w:hAnsiTheme="minorHAnsi" w:cstheme="minorHAnsi"/>
          <w:color w:val="000000"/>
          <w:sz w:val="24"/>
          <w:szCs w:val="24"/>
        </w:rPr>
      </w:pPr>
      <w:proofErr w:type="spellStart"/>
      <w:r w:rsidRPr="00F74A9C">
        <w:rPr>
          <w:rFonts w:asciiTheme="minorHAnsi" w:hAnsiTheme="minorHAnsi" w:cstheme="minorHAnsi"/>
          <w:color w:val="000000"/>
          <w:sz w:val="24"/>
          <w:szCs w:val="24"/>
        </w:rPr>
        <w:t>Zwracamy</w:t>
      </w:r>
      <w:proofErr w:type="spellEnd"/>
      <w:r w:rsidRPr="00F74A9C">
        <w:rPr>
          <w:rFonts w:asciiTheme="minorHAnsi" w:hAnsiTheme="minorHAnsi" w:cstheme="minorHAnsi"/>
          <w:color w:val="000000"/>
          <w:sz w:val="24"/>
          <w:szCs w:val="24"/>
        </w:rPr>
        <w:t xml:space="preserve"> </w:t>
      </w:r>
      <w:proofErr w:type="spellStart"/>
      <w:r w:rsidRPr="00F74A9C">
        <w:rPr>
          <w:rFonts w:asciiTheme="minorHAnsi" w:hAnsiTheme="minorHAnsi" w:cstheme="minorHAnsi"/>
          <w:color w:val="000000"/>
          <w:sz w:val="24"/>
          <w:szCs w:val="24"/>
        </w:rPr>
        <w:t>się</w:t>
      </w:r>
      <w:proofErr w:type="spellEnd"/>
      <w:r w:rsidRPr="00F74A9C">
        <w:rPr>
          <w:rFonts w:asciiTheme="minorHAnsi" w:hAnsiTheme="minorHAnsi" w:cstheme="minorHAnsi"/>
          <w:color w:val="000000"/>
          <w:sz w:val="24"/>
          <w:szCs w:val="24"/>
        </w:rPr>
        <w:t xml:space="preserve"> z </w:t>
      </w:r>
      <w:proofErr w:type="spellStart"/>
      <w:r w:rsidRPr="00F74A9C">
        <w:rPr>
          <w:rFonts w:asciiTheme="minorHAnsi" w:hAnsiTheme="minorHAnsi" w:cstheme="minorHAnsi"/>
          <w:color w:val="000000"/>
          <w:sz w:val="24"/>
          <w:szCs w:val="24"/>
        </w:rPr>
        <w:t>prośbą</w:t>
      </w:r>
      <w:proofErr w:type="spellEnd"/>
      <w:r w:rsidRPr="00F74A9C">
        <w:rPr>
          <w:rFonts w:asciiTheme="minorHAnsi" w:hAnsiTheme="minorHAnsi" w:cstheme="minorHAnsi"/>
          <w:color w:val="000000"/>
          <w:sz w:val="24"/>
          <w:szCs w:val="24"/>
        </w:rPr>
        <w:t xml:space="preserve"> do Zamawiającego o uzupełnienie wykazu i opisu wyposażenia przewidzianego do zakupu i montażu w aptece, w ramach Zamówienia dla pakietu nr 2. </w:t>
      </w:r>
    </w:p>
    <w:p w:rsidR="00F74A9C" w:rsidRPr="00F74A9C" w:rsidRDefault="00F74A9C" w:rsidP="00F74A9C">
      <w:pPr>
        <w:pStyle w:val="Akapitzlist"/>
        <w:autoSpaceDE w:val="0"/>
        <w:autoSpaceDN w:val="0"/>
        <w:adjustRightInd w:val="0"/>
        <w:spacing w:after="68"/>
        <w:ind w:left="693"/>
        <w:rPr>
          <w:rFonts w:asciiTheme="minorHAnsi" w:hAnsiTheme="minorHAnsi" w:cstheme="minorHAnsi"/>
          <w:color w:val="000000"/>
          <w:sz w:val="24"/>
          <w:szCs w:val="24"/>
        </w:rPr>
      </w:pPr>
    </w:p>
    <w:p w:rsidR="001E09F3" w:rsidRPr="00F74A9C" w:rsidRDefault="001E09F3" w:rsidP="001C7A77">
      <w:pPr>
        <w:autoSpaceDE w:val="0"/>
        <w:autoSpaceDN w:val="0"/>
        <w:adjustRightInd w:val="0"/>
        <w:spacing w:after="68"/>
        <w:rPr>
          <w:rFonts w:asciiTheme="minorHAnsi" w:hAnsiTheme="minorHAnsi" w:cstheme="minorHAnsi"/>
          <w:color w:val="FF0000"/>
          <w:sz w:val="24"/>
          <w:szCs w:val="24"/>
        </w:rPr>
      </w:pPr>
      <w:r w:rsidRPr="00F74A9C">
        <w:rPr>
          <w:rFonts w:asciiTheme="minorHAnsi" w:hAnsiTheme="minorHAnsi" w:cstheme="minorHAnsi"/>
          <w:color w:val="FF0000"/>
          <w:sz w:val="24"/>
          <w:szCs w:val="24"/>
        </w:rPr>
        <w:t>Odp. Zamawiający wyłączył z zakresu dostaw wyposażenie medyczne i niemedyczne.</w:t>
      </w:r>
    </w:p>
    <w:p w:rsidR="001E09F3" w:rsidRPr="00F74A9C" w:rsidRDefault="001E09F3">
      <w:pPr>
        <w:rPr>
          <w:rFonts w:asciiTheme="minorHAnsi" w:hAnsiTheme="minorHAnsi" w:cstheme="minorHAnsi"/>
          <w:sz w:val="24"/>
          <w:szCs w:val="24"/>
        </w:rPr>
      </w:pPr>
    </w:p>
    <w:p w:rsidR="001E09F3" w:rsidRPr="00F74A9C" w:rsidRDefault="001E09F3">
      <w:pPr>
        <w:rPr>
          <w:rFonts w:asciiTheme="minorHAnsi" w:hAnsiTheme="minorHAnsi" w:cstheme="minorHAnsi"/>
          <w:sz w:val="24"/>
          <w:szCs w:val="24"/>
        </w:rPr>
      </w:pPr>
    </w:p>
    <w:p w:rsidR="001E09F3" w:rsidRPr="00F74A9C" w:rsidRDefault="001E09F3">
      <w:pPr>
        <w:rPr>
          <w:rFonts w:asciiTheme="minorHAnsi" w:hAnsiTheme="minorHAnsi" w:cstheme="minorHAnsi"/>
          <w:sz w:val="24"/>
          <w:szCs w:val="24"/>
        </w:rPr>
      </w:pPr>
    </w:p>
    <w:p w:rsidR="001E09F3" w:rsidRDefault="001E09F3" w:rsidP="00F74A9C">
      <w:pPr>
        <w:numPr>
          <w:ilvl w:val="0"/>
          <w:numId w:val="1"/>
        </w:numPr>
        <w:autoSpaceDE w:val="0"/>
        <w:autoSpaceDN w:val="0"/>
        <w:adjustRightInd w:val="0"/>
        <w:spacing w:after="68"/>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Prosimy o potwierdzenie, że opisy urządzeń/mebli z kart katalogowych w udostępnionym projekcie są obowiązujące także w niniejszym postępowaniu. W przypadku negatywnej odpowiedzi prosimy o jednoznaczne wytyczne dla urządzeń i mebli będących w zakresie przetargu. </w:t>
      </w:r>
    </w:p>
    <w:p w:rsidR="00F74A9C" w:rsidRPr="00F74A9C" w:rsidRDefault="00F74A9C" w:rsidP="00F74A9C">
      <w:pPr>
        <w:autoSpaceDE w:val="0"/>
        <w:autoSpaceDN w:val="0"/>
        <w:adjustRightInd w:val="0"/>
        <w:spacing w:after="68"/>
        <w:ind w:left="693"/>
        <w:rPr>
          <w:rFonts w:asciiTheme="minorHAnsi" w:hAnsiTheme="minorHAnsi" w:cstheme="minorHAnsi"/>
          <w:color w:val="000000"/>
          <w:sz w:val="24"/>
          <w:szCs w:val="24"/>
        </w:rPr>
      </w:pPr>
    </w:p>
    <w:p w:rsidR="001E09F3" w:rsidRPr="00F74A9C" w:rsidRDefault="001E09F3" w:rsidP="001C7A77">
      <w:pPr>
        <w:autoSpaceDE w:val="0"/>
        <w:autoSpaceDN w:val="0"/>
        <w:adjustRightInd w:val="0"/>
        <w:spacing w:after="68"/>
        <w:rPr>
          <w:rFonts w:asciiTheme="minorHAnsi" w:hAnsiTheme="minorHAnsi" w:cstheme="minorHAnsi"/>
          <w:color w:val="FF0000"/>
          <w:sz w:val="24"/>
          <w:szCs w:val="24"/>
        </w:rPr>
      </w:pPr>
      <w:r w:rsidRPr="00F74A9C">
        <w:rPr>
          <w:rFonts w:asciiTheme="minorHAnsi" w:hAnsiTheme="minorHAnsi" w:cstheme="minorHAnsi"/>
          <w:color w:val="FF0000"/>
          <w:sz w:val="24"/>
          <w:szCs w:val="24"/>
        </w:rPr>
        <w:t>Odp. Zamawiający wyłączył z zakresu dostaw wyposażenie medyczne i niemedyczne.</w:t>
      </w:r>
    </w:p>
    <w:p w:rsidR="001E09F3" w:rsidRPr="00F74A9C" w:rsidRDefault="001E09F3" w:rsidP="001E09F3">
      <w:pPr>
        <w:autoSpaceDE w:val="0"/>
        <w:autoSpaceDN w:val="0"/>
        <w:adjustRightInd w:val="0"/>
        <w:spacing w:after="68"/>
        <w:rPr>
          <w:rFonts w:asciiTheme="minorHAnsi" w:hAnsiTheme="minorHAnsi" w:cstheme="minorHAnsi"/>
          <w:color w:val="000000"/>
          <w:sz w:val="24"/>
          <w:szCs w:val="24"/>
        </w:rPr>
      </w:pPr>
    </w:p>
    <w:p w:rsidR="001E09F3" w:rsidRDefault="001E09F3" w:rsidP="00F74A9C">
      <w:pPr>
        <w:numPr>
          <w:ilvl w:val="0"/>
          <w:numId w:val="1"/>
        </w:num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Dotyczy Zadania 2. W związku z formułą przetargu -zoptymalizuj, wybuduj - prosimy o potwierdzenie, że układ pomieszczeń, rodzaj pracowni oraz ich ilość w obszarach Apteki pozostanie bez zmian, a jedyne zmiany wynikać będą ze zmian przepisów technicznych oraz przepisów prawa. Jeżeli planowane są zmiany to prosimy o udostepnienie rysunków koncepcyjnych wraz z wykazem pomieszczeń. </w:t>
      </w:r>
    </w:p>
    <w:p w:rsidR="001C7A77" w:rsidRPr="00F74A9C" w:rsidRDefault="001C7A77" w:rsidP="001C7A77">
      <w:pPr>
        <w:autoSpaceDE w:val="0"/>
        <w:autoSpaceDN w:val="0"/>
        <w:adjustRightInd w:val="0"/>
        <w:ind w:left="693"/>
        <w:rPr>
          <w:rFonts w:asciiTheme="minorHAnsi" w:hAnsiTheme="minorHAnsi" w:cstheme="minorHAnsi"/>
          <w:color w:val="000000"/>
          <w:sz w:val="24"/>
          <w:szCs w:val="24"/>
        </w:rPr>
      </w:pPr>
    </w:p>
    <w:p w:rsidR="001E09F3" w:rsidRPr="00F74A9C" w:rsidRDefault="001C7A77" w:rsidP="001E09F3">
      <w:pPr>
        <w:autoSpaceDE w:val="0"/>
        <w:autoSpaceDN w:val="0"/>
        <w:adjustRightInd w:val="0"/>
        <w:rPr>
          <w:rFonts w:asciiTheme="minorHAnsi" w:hAnsiTheme="minorHAnsi" w:cstheme="minorHAnsi"/>
          <w:color w:val="FF0000"/>
          <w:sz w:val="24"/>
          <w:szCs w:val="24"/>
        </w:rPr>
      </w:pPr>
      <w:r>
        <w:rPr>
          <w:rFonts w:asciiTheme="minorHAnsi" w:hAnsiTheme="minorHAnsi" w:cstheme="minorHAnsi"/>
          <w:color w:val="FF0000"/>
          <w:sz w:val="24"/>
          <w:szCs w:val="24"/>
        </w:rPr>
        <w:t xml:space="preserve"> </w:t>
      </w:r>
      <w:r w:rsidR="001E09F3" w:rsidRPr="00F74A9C">
        <w:rPr>
          <w:rFonts w:asciiTheme="minorHAnsi" w:hAnsiTheme="minorHAnsi" w:cstheme="minorHAnsi"/>
          <w:color w:val="FF0000"/>
          <w:sz w:val="24"/>
          <w:szCs w:val="24"/>
        </w:rPr>
        <w:t xml:space="preserve"> Odpowiedź: Zamawiający potwierdza.</w:t>
      </w:r>
    </w:p>
    <w:p w:rsidR="001E09F3" w:rsidRDefault="001E09F3" w:rsidP="001E09F3">
      <w:pPr>
        <w:autoSpaceDE w:val="0"/>
        <w:autoSpaceDN w:val="0"/>
        <w:adjustRightInd w:val="0"/>
        <w:rPr>
          <w:rFonts w:asciiTheme="minorHAnsi" w:hAnsiTheme="minorHAnsi" w:cstheme="minorHAnsi"/>
          <w:color w:val="000000"/>
          <w:sz w:val="24"/>
          <w:szCs w:val="24"/>
        </w:rPr>
      </w:pPr>
    </w:p>
    <w:p w:rsidR="001C7A77" w:rsidRDefault="001C7A77" w:rsidP="001E09F3">
      <w:pPr>
        <w:autoSpaceDE w:val="0"/>
        <w:autoSpaceDN w:val="0"/>
        <w:adjustRightInd w:val="0"/>
        <w:rPr>
          <w:rFonts w:asciiTheme="minorHAnsi" w:hAnsiTheme="minorHAnsi" w:cstheme="minorHAnsi"/>
          <w:color w:val="000000"/>
          <w:sz w:val="24"/>
          <w:szCs w:val="24"/>
        </w:rPr>
      </w:pPr>
    </w:p>
    <w:p w:rsidR="001C7A77" w:rsidRDefault="001C7A77" w:rsidP="001E09F3">
      <w:pPr>
        <w:autoSpaceDE w:val="0"/>
        <w:autoSpaceDN w:val="0"/>
        <w:adjustRightInd w:val="0"/>
        <w:rPr>
          <w:rFonts w:asciiTheme="minorHAnsi" w:hAnsiTheme="minorHAnsi" w:cstheme="minorHAnsi"/>
          <w:color w:val="000000"/>
          <w:sz w:val="24"/>
          <w:szCs w:val="24"/>
        </w:rPr>
      </w:pPr>
    </w:p>
    <w:p w:rsidR="001C7A77" w:rsidRPr="00F74A9C" w:rsidRDefault="001C7A77" w:rsidP="001E09F3">
      <w:pPr>
        <w:autoSpaceDE w:val="0"/>
        <w:autoSpaceDN w:val="0"/>
        <w:adjustRightInd w:val="0"/>
        <w:rPr>
          <w:rFonts w:asciiTheme="minorHAnsi" w:hAnsiTheme="minorHAnsi" w:cstheme="minorHAnsi"/>
          <w:color w:val="000000"/>
          <w:sz w:val="24"/>
          <w:szCs w:val="24"/>
        </w:rPr>
      </w:pPr>
    </w:p>
    <w:p w:rsidR="001E09F3" w:rsidRPr="00F74A9C" w:rsidRDefault="001E09F3" w:rsidP="00F74A9C">
      <w:pPr>
        <w:numPr>
          <w:ilvl w:val="0"/>
          <w:numId w:val="1"/>
        </w:numPr>
        <w:autoSpaceDE w:val="0"/>
        <w:autoSpaceDN w:val="0"/>
        <w:adjustRightInd w:val="0"/>
        <w:spacing w:after="68"/>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Dotyczy Zadania 2. Automatyczny system magazynowania leków (1 szt.), - czy Zamawiający ma na myśli urządzenie stanowiące automatyczny magazyn leków w pełnych opakowaniach, czy w dawkach jednostkowych ? </w:t>
      </w:r>
    </w:p>
    <w:p w:rsidR="001E09F3" w:rsidRPr="00F74A9C" w:rsidRDefault="001E09F3" w:rsidP="001C7A77">
      <w:pPr>
        <w:autoSpaceDE w:val="0"/>
        <w:autoSpaceDN w:val="0"/>
        <w:adjustRightInd w:val="0"/>
        <w:spacing w:after="68"/>
        <w:rPr>
          <w:rFonts w:asciiTheme="minorHAnsi" w:hAnsiTheme="minorHAnsi" w:cstheme="minorHAnsi"/>
          <w:color w:val="FF0000"/>
          <w:sz w:val="24"/>
          <w:szCs w:val="24"/>
        </w:rPr>
      </w:pPr>
      <w:r w:rsidRPr="00F74A9C">
        <w:rPr>
          <w:rFonts w:asciiTheme="minorHAnsi" w:hAnsiTheme="minorHAnsi" w:cstheme="minorHAnsi"/>
          <w:color w:val="FF0000"/>
          <w:sz w:val="24"/>
          <w:szCs w:val="24"/>
        </w:rPr>
        <w:t>Odp. Zamawiający ma na myśli urządzenie stanowiące automatyczny magazyn leków w dawkach jednostkowych.</w:t>
      </w:r>
    </w:p>
    <w:p w:rsidR="001E09F3" w:rsidRPr="00F74A9C" w:rsidRDefault="001E09F3">
      <w:pPr>
        <w:rPr>
          <w:rFonts w:asciiTheme="minorHAnsi" w:hAnsiTheme="minorHAnsi" w:cstheme="minorHAnsi"/>
          <w:sz w:val="24"/>
          <w:szCs w:val="24"/>
        </w:rPr>
      </w:pPr>
    </w:p>
    <w:p w:rsidR="001E09F3" w:rsidRPr="00F74A9C" w:rsidRDefault="001E09F3" w:rsidP="00F74A9C">
      <w:pPr>
        <w:numPr>
          <w:ilvl w:val="0"/>
          <w:numId w:val="1"/>
        </w:numPr>
        <w:autoSpaceDE w:val="0"/>
        <w:autoSpaceDN w:val="0"/>
        <w:adjustRightInd w:val="0"/>
        <w:spacing w:after="68"/>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Prosimy o potwierdzenie, że termin zakończenia przedmiotu umowy tj. 30.09.2024 r. liczony będzie do dnia uzyskania prawomocnego pozwolenia na </w:t>
      </w:r>
      <w:bookmarkStart w:id="0" w:name="_GoBack"/>
      <w:bookmarkEnd w:id="0"/>
      <w:r w:rsidRPr="00F74A9C">
        <w:rPr>
          <w:rFonts w:asciiTheme="minorHAnsi" w:hAnsiTheme="minorHAnsi" w:cstheme="minorHAnsi"/>
          <w:color w:val="000000"/>
          <w:sz w:val="24"/>
          <w:szCs w:val="24"/>
        </w:rPr>
        <w:t xml:space="preserve">użytkowanie. </w:t>
      </w:r>
    </w:p>
    <w:p w:rsidR="001E09F3" w:rsidRPr="00F74A9C" w:rsidRDefault="001E09F3" w:rsidP="001E09F3">
      <w:pPr>
        <w:autoSpaceDE w:val="0"/>
        <w:autoSpaceDN w:val="0"/>
        <w:adjustRightInd w:val="0"/>
        <w:spacing w:after="68"/>
        <w:rPr>
          <w:rFonts w:asciiTheme="minorHAnsi" w:hAnsiTheme="minorHAnsi" w:cstheme="minorHAnsi"/>
          <w:color w:val="FF0000"/>
          <w:sz w:val="24"/>
          <w:szCs w:val="24"/>
        </w:rPr>
      </w:pPr>
      <w:r w:rsidRPr="00F74A9C">
        <w:rPr>
          <w:rFonts w:asciiTheme="minorHAnsi" w:hAnsiTheme="minorHAnsi" w:cstheme="minorHAnsi"/>
          <w:color w:val="FF0000"/>
          <w:sz w:val="24"/>
          <w:szCs w:val="24"/>
        </w:rPr>
        <w:t xml:space="preserve">Odpowiedź: </w:t>
      </w:r>
      <w:r w:rsidR="00447DE2">
        <w:rPr>
          <w:rFonts w:asciiTheme="minorHAnsi" w:hAnsiTheme="minorHAnsi" w:cstheme="minorHAnsi"/>
          <w:color w:val="FF0000"/>
          <w:sz w:val="24"/>
          <w:szCs w:val="24"/>
        </w:rPr>
        <w:t xml:space="preserve">Dot. przedmiotu umowy w pakietach nr 2 i 3 - </w:t>
      </w:r>
      <w:r w:rsidRPr="00F74A9C">
        <w:rPr>
          <w:rFonts w:asciiTheme="minorHAnsi" w:hAnsiTheme="minorHAnsi" w:cstheme="minorHAnsi"/>
          <w:color w:val="FF0000"/>
          <w:sz w:val="24"/>
          <w:szCs w:val="24"/>
        </w:rPr>
        <w:t>Zmawiający na dzień 30.09.2024 r. wymaga pozwolenia na użytkowanie.</w:t>
      </w:r>
    </w:p>
    <w:p w:rsidR="001E09F3" w:rsidRPr="00F74A9C" w:rsidRDefault="001E09F3" w:rsidP="001E09F3">
      <w:pPr>
        <w:autoSpaceDE w:val="0"/>
        <w:autoSpaceDN w:val="0"/>
        <w:adjustRightInd w:val="0"/>
        <w:spacing w:after="68"/>
        <w:ind w:left="360"/>
        <w:rPr>
          <w:rFonts w:asciiTheme="minorHAnsi" w:hAnsiTheme="minorHAnsi" w:cstheme="minorHAnsi"/>
          <w:color w:val="000000"/>
          <w:sz w:val="24"/>
          <w:szCs w:val="24"/>
        </w:rPr>
      </w:pPr>
    </w:p>
    <w:p w:rsidR="001E09F3" w:rsidRPr="00F74A9C" w:rsidRDefault="001E09F3" w:rsidP="00F74A9C">
      <w:pPr>
        <w:numPr>
          <w:ilvl w:val="0"/>
          <w:numId w:val="1"/>
        </w:numPr>
        <w:autoSpaceDE w:val="0"/>
        <w:autoSpaceDN w:val="0"/>
        <w:adjustRightInd w:val="0"/>
        <w:spacing w:after="68"/>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Dotyczy Zadania 2. Prosimy o wskazanie osi według której Zamawiający zamierza podzielić kondygnację P1 na etapy IA oraz IB wyszczególnione umową. </w:t>
      </w:r>
    </w:p>
    <w:p w:rsidR="001E09F3" w:rsidRDefault="001E09F3" w:rsidP="001E09F3">
      <w:pPr>
        <w:autoSpaceDE w:val="0"/>
        <w:autoSpaceDN w:val="0"/>
        <w:adjustRightInd w:val="0"/>
        <w:spacing w:after="68"/>
        <w:rPr>
          <w:rFonts w:asciiTheme="minorHAnsi" w:hAnsiTheme="minorHAnsi" w:cstheme="minorHAnsi"/>
          <w:color w:val="FF0000"/>
          <w:sz w:val="24"/>
          <w:szCs w:val="24"/>
        </w:rPr>
      </w:pPr>
      <w:r w:rsidRPr="00F74A9C">
        <w:rPr>
          <w:rFonts w:asciiTheme="minorHAnsi" w:hAnsiTheme="minorHAnsi" w:cstheme="minorHAnsi"/>
          <w:color w:val="FF0000"/>
          <w:sz w:val="24"/>
          <w:szCs w:val="24"/>
        </w:rPr>
        <w:t>Odpowiedź: Zgodnie z §2 ust. 6 pkt 6.1 i 6.2 wzoru Umowy. Wielkość udostępnionego obszaru prac uzależniona jest  od terminów odbioru prac na pozostałych obszarach i możliwości przeniesienia komórek szpitala.</w:t>
      </w:r>
    </w:p>
    <w:p w:rsidR="001C7A77" w:rsidRPr="00F74A9C" w:rsidRDefault="001C7A77" w:rsidP="001E09F3">
      <w:pPr>
        <w:autoSpaceDE w:val="0"/>
        <w:autoSpaceDN w:val="0"/>
        <w:adjustRightInd w:val="0"/>
        <w:spacing w:after="68"/>
        <w:rPr>
          <w:rFonts w:asciiTheme="minorHAnsi" w:hAnsiTheme="minorHAnsi" w:cstheme="minorHAnsi"/>
          <w:color w:val="FF0000"/>
          <w:sz w:val="24"/>
          <w:szCs w:val="24"/>
        </w:rPr>
      </w:pPr>
    </w:p>
    <w:p w:rsidR="001E09F3" w:rsidRPr="00F74A9C" w:rsidRDefault="001E09F3" w:rsidP="00F74A9C">
      <w:pPr>
        <w:numPr>
          <w:ilvl w:val="0"/>
          <w:numId w:val="1"/>
        </w:numPr>
        <w:autoSpaceDE w:val="0"/>
        <w:autoSpaceDN w:val="0"/>
        <w:adjustRightInd w:val="0"/>
        <w:spacing w:after="68"/>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Dotyczy Zadania 2. Prosimy o potwierdzenie, że Zamawiający we własnym zakresie opróżni kondygnacje objęte postepowaniem z mebli ruchomych, urządzeń, dokumentów. </w:t>
      </w:r>
    </w:p>
    <w:p w:rsidR="001E09F3" w:rsidRPr="00F74A9C" w:rsidRDefault="001E09F3" w:rsidP="001E09F3">
      <w:pPr>
        <w:autoSpaceDE w:val="0"/>
        <w:autoSpaceDN w:val="0"/>
        <w:adjustRightInd w:val="0"/>
        <w:spacing w:after="68"/>
        <w:rPr>
          <w:rFonts w:asciiTheme="minorHAnsi" w:hAnsiTheme="minorHAnsi" w:cstheme="minorHAnsi"/>
          <w:color w:val="FF0000"/>
          <w:sz w:val="24"/>
          <w:szCs w:val="24"/>
        </w:rPr>
      </w:pPr>
      <w:r w:rsidRPr="00F74A9C">
        <w:rPr>
          <w:rFonts w:asciiTheme="minorHAnsi" w:hAnsiTheme="minorHAnsi" w:cstheme="minorHAnsi"/>
          <w:color w:val="FF0000"/>
          <w:sz w:val="24"/>
          <w:szCs w:val="24"/>
        </w:rPr>
        <w:t>Odpowiedź: Zamawiający potwierdza.</w:t>
      </w:r>
    </w:p>
    <w:p w:rsidR="001E09F3" w:rsidRPr="00F74A9C" w:rsidRDefault="001E09F3" w:rsidP="00F74A9C">
      <w:pPr>
        <w:numPr>
          <w:ilvl w:val="0"/>
          <w:numId w:val="1"/>
        </w:numPr>
        <w:autoSpaceDE w:val="0"/>
        <w:autoSpaceDN w:val="0"/>
        <w:adjustRightInd w:val="0"/>
        <w:spacing w:after="68"/>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Apteka. Prosimy o potwierdzenie czy dostawa urządzeń aktywnych </w:t>
      </w:r>
      <w:proofErr w:type="spellStart"/>
      <w:r w:rsidRPr="00F74A9C">
        <w:rPr>
          <w:rFonts w:asciiTheme="minorHAnsi" w:hAnsiTheme="minorHAnsi" w:cstheme="minorHAnsi"/>
          <w:color w:val="000000"/>
          <w:sz w:val="24"/>
          <w:szCs w:val="24"/>
        </w:rPr>
        <w:t>switch</w:t>
      </w:r>
      <w:proofErr w:type="spellEnd"/>
      <w:r w:rsidRPr="00F74A9C">
        <w:rPr>
          <w:rFonts w:asciiTheme="minorHAnsi" w:hAnsiTheme="minorHAnsi" w:cstheme="minorHAnsi"/>
          <w:color w:val="000000"/>
          <w:sz w:val="24"/>
          <w:szCs w:val="24"/>
        </w:rPr>
        <w:t xml:space="preserve"> / </w:t>
      </w:r>
      <w:proofErr w:type="spellStart"/>
      <w:r w:rsidRPr="00F74A9C">
        <w:rPr>
          <w:rFonts w:asciiTheme="minorHAnsi" w:hAnsiTheme="minorHAnsi" w:cstheme="minorHAnsi"/>
          <w:color w:val="000000"/>
          <w:sz w:val="24"/>
          <w:szCs w:val="24"/>
        </w:rPr>
        <w:t>access</w:t>
      </w:r>
      <w:proofErr w:type="spellEnd"/>
      <w:r w:rsidRPr="00F74A9C">
        <w:rPr>
          <w:rFonts w:asciiTheme="minorHAnsi" w:hAnsiTheme="minorHAnsi" w:cstheme="minorHAnsi"/>
          <w:color w:val="000000"/>
          <w:sz w:val="24"/>
          <w:szCs w:val="24"/>
        </w:rPr>
        <w:t xml:space="preserve"> point jest w zakresie przetargu. </w:t>
      </w:r>
    </w:p>
    <w:p w:rsidR="001E09F3" w:rsidRPr="00F74A9C" w:rsidRDefault="001E09F3" w:rsidP="001E09F3">
      <w:pPr>
        <w:spacing w:before="100" w:beforeAutospacing="1" w:after="100" w:afterAutospacing="1"/>
        <w:rPr>
          <w:rFonts w:asciiTheme="minorHAnsi" w:eastAsia="Times New Roman" w:hAnsiTheme="minorHAnsi" w:cstheme="minorHAnsi"/>
          <w:color w:val="FF0000"/>
          <w:sz w:val="24"/>
          <w:szCs w:val="24"/>
        </w:rPr>
      </w:pPr>
      <w:proofErr w:type="spellStart"/>
      <w:r w:rsidRPr="00F74A9C">
        <w:rPr>
          <w:rFonts w:asciiTheme="minorHAnsi" w:eastAsia="Times New Roman" w:hAnsiTheme="minorHAnsi" w:cstheme="minorHAnsi"/>
          <w:color w:val="FF0000"/>
          <w:sz w:val="24"/>
          <w:szCs w:val="24"/>
        </w:rPr>
        <w:t>Odp</w:t>
      </w:r>
      <w:proofErr w:type="spellEnd"/>
      <w:r w:rsidRPr="00F74A9C">
        <w:rPr>
          <w:rFonts w:asciiTheme="minorHAnsi" w:eastAsia="Times New Roman" w:hAnsiTheme="minorHAnsi" w:cstheme="minorHAnsi"/>
          <w:color w:val="FF0000"/>
          <w:sz w:val="24"/>
          <w:szCs w:val="24"/>
        </w:rPr>
        <w:t>: Aktywne urządzenia sieciowe nie wchodzą w zakres dostawy powyższego postępowania.</w:t>
      </w:r>
    </w:p>
    <w:p w:rsidR="001E09F3" w:rsidRPr="00F74A9C" w:rsidRDefault="001E09F3" w:rsidP="00F74A9C">
      <w:pPr>
        <w:pStyle w:val="Akapitzlist"/>
        <w:numPr>
          <w:ilvl w:val="0"/>
          <w:numId w:val="1"/>
        </w:numPr>
        <w:autoSpaceDE w:val="0"/>
        <w:autoSpaceDN w:val="0"/>
        <w:adjustRightInd w:val="0"/>
        <w:jc w:val="both"/>
        <w:rPr>
          <w:rFonts w:asciiTheme="minorHAnsi" w:hAnsiTheme="minorHAnsi" w:cstheme="minorHAnsi"/>
          <w:sz w:val="24"/>
          <w:szCs w:val="24"/>
        </w:rPr>
      </w:pPr>
      <w:proofErr w:type="spellStart"/>
      <w:r w:rsidRPr="00F74A9C">
        <w:rPr>
          <w:rFonts w:asciiTheme="minorHAnsi" w:hAnsiTheme="minorHAnsi" w:cstheme="minorHAnsi"/>
          <w:sz w:val="24"/>
          <w:szCs w:val="24"/>
        </w:rPr>
        <w:t>Prosimy</w:t>
      </w:r>
      <w:proofErr w:type="spellEnd"/>
      <w:r w:rsidRPr="00F74A9C">
        <w:rPr>
          <w:rFonts w:asciiTheme="minorHAnsi" w:hAnsiTheme="minorHAnsi" w:cstheme="minorHAnsi"/>
          <w:sz w:val="24"/>
          <w:szCs w:val="24"/>
        </w:rPr>
        <w:t xml:space="preserve"> </w:t>
      </w:r>
      <w:proofErr w:type="spellStart"/>
      <w:r w:rsidRPr="00F74A9C">
        <w:rPr>
          <w:rFonts w:asciiTheme="minorHAnsi" w:hAnsiTheme="minorHAnsi" w:cstheme="minorHAnsi"/>
          <w:sz w:val="24"/>
          <w:szCs w:val="24"/>
        </w:rPr>
        <w:t>Zamawiającego</w:t>
      </w:r>
      <w:proofErr w:type="spellEnd"/>
      <w:r w:rsidRPr="00F74A9C">
        <w:rPr>
          <w:rFonts w:asciiTheme="minorHAnsi" w:hAnsiTheme="minorHAnsi" w:cstheme="minorHAnsi"/>
          <w:sz w:val="24"/>
          <w:szCs w:val="24"/>
        </w:rPr>
        <w:t xml:space="preserve"> o </w:t>
      </w:r>
      <w:proofErr w:type="spellStart"/>
      <w:r w:rsidRPr="00F74A9C">
        <w:rPr>
          <w:rFonts w:asciiTheme="minorHAnsi" w:hAnsiTheme="minorHAnsi" w:cstheme="minorHAnsi"/>
          <w:sz w:val="24"/>
          <w:szCs w:val="24"/>
        </w:rPr>
        <w:t>odpowiedzi</w:t>
      </w:r>
      <w:proofErr w:type="spellEnd"/>
      <w:r w:rsidRPr="00F74A9C">
        <w:rPr>
          <w:rFonts w:asciiTheme="minorHAnsi" w:hAnsiTheme="minorHAnsi" w:cstheme="minorHAnsi"/>
          <w:sz w:val="24"/>
          <w:szCs w:val="24"/>
        </w:rPr>
        <w:t xml:space="preserve"> na pytania: 1. Prosimy Zamawiającego o potwierdzenie, że wizja lokalna nie jest obowiązkowa. 2. Prosimy Zamawiającego o jednoznaczne określenie, którą sekcję w części IV JEDZ Wykonawca powinien wypełnić. W SWZ r rozdziale IX punkt 1) podpunkt 1.1. nie jest to jasno zapisane. </w:t>
      </w:r>
    </w:p>
    <w:p w:rsidR="001E09F3" w:rsidRPr="00F74A9C" w:rsidRDefault="001E09F3" w:rsidP="001E09F3">
      <w:pPr>
        <w:autoSpaceDE w:val="0"/>
        <w:autoSpaceDN w:val="0"/>
        <w:adjustRightInd w:val="0"/>
        <w:spacing w:after="71"/>
        <w:ind w:left="360"/>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 xml:space="preserve">Odpowiedź: 1/ Wizja lokalna nie jest obowiązkowa. 2/ </w:t>
      </w:r>
      <w:r w:rsidRPr="00F74A9C">
        <w:rPr>
          <w:rFonts w:asciiTheme="minorHAnsi" w:hAnsiTheme="minorHAnsi" w:cstheme="minorHAnsi"/>
          <w:iCs/>
          <w:color w:val="FF0000"/>
          <w:sz w:val="24"/>
          <w:szCs w:val="24"/>
        </w:rPr>
        <w:t xml:space="preserve">Zamawiający dokonał korekty zapisu w </w:t>
      </w:r>
      <w:proofErr w:type="spellStart"/>
      <w:r w:rsidRPr="00F74A9C">
        <w:rPr>
          <w:rFonts w:asciiTheme="minorHAnsi" w:hAnsiTheme="minorHAnsi" w:cstheme="minorHAnsi"/>
          <w:iCs/>
          <w:color w:val="FF0000"/>
          <w:sz w:val="24"/>
          <w:szCs w:val="24"/>
        </w:rPr>
        <w:t>swz</w:t>
      </w:r>
      <w:proofErr w:type="spellEnd"/>
      <w:r w:rsidRPr="00F74A9C">
        <w:rPr>
          <w:rFonts w:asciiTheme="minorHAnsi" w:hAnsiTheme="minorHAnsi" w:cstheme="minorHAnsi"/>
          <w:iCs/>
          <w:color w:val="FF0000"/>
          <w:sz w:val="24"/>
          <w:szCs w:val="24"/>
        </w:rPr>
        <w:t xml:space="preserve">. </w:t>
      </w:r>
    </w:p>
    <w:p w:rsidR="001E09F3" w:rsidRPr="00F74A9C" w:rsidRDefault="001E09F3" w:rsidP="001E09F3">
      <w:pPr>
        <w:autoSpaceDE w:val="0"/>
        <w:autoSpaceDN w:val="0"/>
        <w:adjustRightInd w:val="0"/>
        <w:spacing w:after="71"/>
        <w:ind w:left="360"/>
        <w:jc w:val="both"/>
        <w:rPr>
          <w:rFonts w:asciiTheme="minorHAnsi" w:hAnsiTheme="minorHAnsi" w:cstheme="minorHAnsi"/>
          <w:color w:val="FF0000"/>
          <w:sz w:val="24"/>
          <w:szCs w:val="24"/>
        </w:rPr>
      </w:pPr>
      <w:r w:rsidRPr="00F74A9C">
        <w:rPr>
          <w:rFonts w:asciiTheme="minorHAnsi" w:hAnsiTheme="minorHAnsi" w:cstheme="minorHAnsi"/>
          <w:iCs/>
          <w:color w:val="FF0000"/>
          <w:sz w:val="24"/>
          <w:szCs w:val="24"/>
        </w:rPr>
        <w:t xml:space="preserve">Przy wypełnianiu formularza JEDZ (ESPD) wykonawcy mogą skorzystać z instrukcji jego wypełniania zamieszczonej na stronie internetowej Urzędu Zamówień Publicznych pod adresem: </w:t>
      </w:r>
    </w:p>
    <w:p w:rsidR="001E09F3" w:rsidRPr="00F74A9C" w:rsidRDefault="00447DE2" w:rsidP="001E09F3">
      <w:pPr>
        <w:autoSpaceDE w:val="0"/>
        <w:autoSpaceDN w:val="0"/>
        <w:adjustRightInd w:val="0"/>
        <w:spacing w:after="71"/>
        <w:ind w:left="360"/>
        <w:rPr>
          <w:rFonts w:asciiTheme="minorHAnsi" w:hAnsiTheme="minorHAnsi" w:cstheme="minorHAnsi"/>
          <w:color w:val="FF0000"/>
          <w:sz w:val="24"/>
          <w:szCs w:val="24"/>
        </w:rPr>
      </w:pPr>
      <w:hyperlink r:id="rId7" w:history="1">
        <w:r w:rsidR="001E09F3" w:rsidRPr="00F74A9C">
          <w:rPr>
            <w:rStyle w:val="Hipercze"/>
            <w:rFonts w:asciiTheme="minorHAnsi" w:hAnsiTheme="minorHAnsi" w:cstheme="minorHAnsi"/>
            <w:sz w:val="24"/>
            <w:szCs w:val="24"/>
          </w:rPr>
          <w:t>https://www.uzp.gov.pl/baza-wiedzy/prawo-zamowien-publicznych-regulacje/prawo-krajowe/jednolity-europejski-dokument-zamowienia</w:t>
        </w:r>
      </w:hyperlink>
    </w:p>
    <w:p w:rsidR="001E09F3" w:rsidRPr="00F74A9C" w:rsidRDefault="001E09F3" w:rsidP="001E09F3">
      <w:pPr>
        <w:autoSpaceDE w:val="0"/>
        <w:autoSpaceDN w:val="0"/>
        <w:adjustRightInd w:val="0"/>
        <w:spacing w:after="71"/>
        <w:ind w:left="360"/>
        <w:rPr>
          <w:rFonts w:asciiTheme="minorHAnsi" w:hAnsiTheme="minorHAnsi" w:cstheme="minorHAnsi"/>
          <w:color w:val="FF0000"/>
          <w:sz w:val="24"/>
          <w:szCs w:val="24"/>
        </w:rPr>
      </w:pPr>
    </w:p>
    <w:p w:rsidR="001E09F3" w:rsidRPr="00F74A9C" w:rsidRDefault="001E09F3" w:rsidP="001E09F3">
      <w:pPr>
        <w:ind w:firstLine="708"/>
        <w:jc w:val="both"/>
        <w:rPr>
          <w:rFonts w:asciiTheme="minorHAnsi" w:eastAsia="Times New Roman" w:hAnsiTheme="minorHAnsi" w:cstheme="minorHAnsi"/>
          <w:sz w:val="24"/>
          <w:szCs w:val="24"/>
          <w:u w:val="single"/>
          <w:lang w:eastAsia="ar-SA"/>
        </w:rPr>
      </w:pPr>
    </w:p>
    <w:p w:rsidR="001E09F3" w:rsidRPr="00F74A9C" w:rsidRDefault="001E09F3" w:rsidP="00F74A9C">
      <w:pPr>
        <w:pStyle w:val="Akapitzlist"/>
        <w:numPr>
          <w:ilvl w:val="0"/>
          <w:numId w:val="1"/>
        </w:numPr>
        <w:spacing w:after="240"/>
        <w:rPr>
          <w:rFonts w:asciiTheme="minorHAnsi" w:hAnsiTheme="minorHAnsi" w:cstheme="minorHAnsi"/>
          <w:color w:val="000000"/>
          <w:sz w:val="24"/>
          <w:szCs w:val="24"/>
        </w:rPr>
      </w:pPr>
      <w:proofErr w:type="spellStart"/>
      <w:r w:rsidRPr="00F74A9C">
        <w:rPr>
          <w:rFonts w:asciiTheme="minorHAnsi" w:hAnsiTheme="minorHAnsi" w:cstheme="minorHAnsi"/>
          <w:color w:val="000000"/>
          <w:sz w:val="24"/>
          <w:szCs w:val="24"/>
        </w:rPr>
        <w:t>Czy</w:t>
      </w:r>
      <w:proofErr w:type="spellEnd"/>
      <w:r w:rsidRPr="00F74A9C">
        <w:rPr>
          <w:rFonts w:asciiTheme="minorHAnsi" w:hAnsiTheme="minorHAnsi" w:cstheme="minorHAnsi"/>
          <w:color w:val="000000"/>
          <w:sz w:val="24"/>
          <w:szCs w:val="24"/>
        </w:rPr>
        <w:t xml:space="preserve"> </w:t>
      </w:r>
      <w:proofErr w:type="spellStart"/>
      <w:r w:rsidRPr="00F74A9C">
        <w:rPr>
          <w:rFonts w:asciiTheme="minorHAnsi" w:hAnsiTheme="minorHAnsi" w:cstheme="minorHAnsi"/>
          <w:color w:val="000000"/>
          <w:sz w:val="24"/>
          <w:szCs w:val="24"/>
        </w:rPr>
        <w:t>zestawy</w:t>
      </w:r>
      <w:proofErr w:type="spellEnd"/>
      <w:r w:rsidRPr="00F74A9C">
        <w:rPr>
          <w:rFonts w:asciiTheme="minorHAnsi" w:hAnsiTheme="minorHAnsi" w:cstheme="minorHAnsi"/>
          <w:color w:val="000000"/>
          <w:sz w:val="24"/>
          <w:szCs w:val="24"/>
        </w:rPr>
        <w:t xml:space="preserve"> </w:t>
      </w:r>
      <w:proofErr w:type="spellStart"/>
      <w:r w:rsidRPr="00F74A9C">
        <w:rPr>
          <w:rFonts w:asciiTheme="minorHAnsi" w:hAnsiTheme="minorHAnsi" w:cstheme="minorHAnsi"/>
          <w:color w:val="000000"/>
          <w:sz w:val="24"/>
          <w:szCs w:val="24"/>
        </w:rPr>
        <w:t>komputerowe</w:t>
      </w:r>
      <w:proofErr w:type="spellEnd"/>
      <w:r w:rsidRPr="00F74A9C">
        <w:rPr>
          <w:rFonts w:asciiTheme="minorHAnsi" w:hAnsiTheme="minorHAnsi" w:cstheme="minorHAnsi"/>
          <w:color w:val="000000"/>
          <w:sz w:val="24"/>
          <w:szCs w:val="24"/>
        </w:rPr>
        <w:t xml:space="preserve"> z monitorami wchodzą w zakres dostawy.</w:t>
      </w:r>
    </w:p>
    <w:p w:rsidR="001E09F3" w:rsidRPr="00F74A9C" w:rsidRDefault="001E09F3" w:rsidP="001E09F3">
      <w:pPr>
        <w:spacing w:before="100" w:beforeAutospacing="1" w:after="100" w:afterAutospacing="1"/>
        <w:rPr>
          <w:rFonts w:asciiTheme="minorHAnsi" w:eastAsia="Times New Roman" w:hAnsiTheme="minorHAnsi" w:cstheme="minorHAnsi"/>
          <w:color w:val="FF0000"/>
          <w:sz w:val="24"/>
          <w:szCs w:val="24"/>
        </w:rPr>
      </w:pPr>
      <w:proofErr w:type="spellStart"/>
      <w:r w:rsidRPr="00F74A9C">
        <w:rPr>
          <w:rFonts w:asciiTheme="minorHAnsi" w:eastAsia="Times New Roman" w:hAnsiTheme="minorHAnsi" w:cstheme="minorHAnsi"/>
          <w:color w:val="FF0000"/>
          <w:sz w:val="24"/>
          <w:szCs w:val="24"/>
        </w:rPr>
        <w:t>Odp</w:t>
      </w:r>
      <w:proofErr w:type="spellEnd"/>
      <w:r w:rsidRPr="00F74A9C">
        <w:rPr>
          <w:rFonts w:asciiTheme="minorHAnsi" w:eastAsia="Times New Roman" w:hAnsiTheme="minorHAnsi" w:cstheme="minorHAnsi"/>
          <w:color w:val="FF0000"/>
          <w:sz w:val="24"/>
          <w:szCs w:val="24"/>
        </w:rPr>
        <w:t>: Zestawy komputerowe z monitorami nie wchodzą w zakres dostawy powyższego postępowania.</w:t>
      </w:r>
    </w:p>
    <w:p w:rsidR="001E09F3" w:rsidRPr="00F74A9C" w:rsidRDefault="001E09F3" w:rsidP="00F74A9C">
      <w:pPr>
        <w:numPr>
          <w:ilvl w:val="0"/>
          <w:numId w:val="1"/>
        </w:numPr>
        <w:spacing w:after="240"/>
        <w:ind w:left="426" w:hanging="426"/>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Czy routery </w:t>
      </w:r>
      <w:proofErr w:type="spellStart"/>
      <w:r w:rsidRPr="00F74A9C">
        <w:rPr>
          <w:rFonts w:asciiTheme="minorHAnsi" w:hAnsiTheme="minorHAnsi" w:cstheme="minorHAnsi"/>
          <w:color w:val="000000"/>
          <w:sz w:val="24"/>
          <w:szCs w:val="24"/>
        </w:rPr>
        <w:t>WiFi</w:t>
      </w:r>
      <w:proofErr w:type="spellEnd"/>
      <w:r w:rsidRPr="00F74A9C">
        <w:rPr>
          <w:rFonts w:asciiTheme="minorHAnsi" w:hAnsiTheme="minorHAnsi" w:cstheme="minorHAnsi"/>
          <w:color w:val="000000"/>
          <w:sz w:val="24"/>
          <w:szCs w:val="24"/>
        </w:rPr>
        <w:t xml:space="preserve"> i urządzenia aktywne (</w:t>
      </w:r>
      <w:proofErr w:type="spellStart"/>
      <w:r w:rsidRPr="00F74A9C">
        <w:rPr>
          <w:rFonts w:asciiTheme="minorHAnsi" w:hAnsiTheme="minorHAnsi" w:cstheme="minorHAnsi"/>
          <w:color w:val="000000"/>
          <w:sz w:val="24"/>
          <w:szCs w:val="24"/>
        </w:rPr>
        <w:t>switche</w:t>
      </w:r>
      <w:proofErr w:type="spellEnd"/>
      <w:r w:rsidRPr="00F74A9C">
        <w:rPr>
          <w:rFonts w:asciiTheme="minorHAnsi" w:hAnsiTheme="minorHAnsi" w:cstheme="minorHAnsi"/>
          <w:color w:val="000000"/>
          <w:sz w:val="24"/>
          <w:szCs w:val="24"/>
        </w:rPr>
        <w:t xml:space="preserve"> itp.) sieci LAN wchodzą w zakres dostawy.</w:t>
      </w:r>
    </w:p>
    <w:p w:rsidR="001E09F3" w:rsidRPr="00F74A9C" w:rsidRDefault="001E09F3" w:rsidP="001E09F3">
      <w:pPr>
        <w:spacing w:before="100" w:beforeAutospacing="1" w:after="100" w:afterAutospacing="1"/>
        <w:rPr>
          <w:rFonts w:asciiTheme="minorHAnsi" w:eastAsia="Times New Roman" w:hAnsiTheme="minorHAnsi" w:cstheme="minorHAnsi"/>
          <w:color w:val="FF0000"/>
          <w:sz w:val="24"/>
          <w:szCs w:val="24"/>
        </w:rPr>
      </w:pPr>
      <w:proofErr w:type="spellStart"/>
      <w:r w:rsidRPr="00F74A9C">
        <w:rPr>
          <w:rFonts w:asciiTheme="minorHAnsi" w:eastAsia="Times New Roman" w:hAnsiTheme="minorHAnsi" w:cstheme="minorHAnsi"/>
          <w:color w:val="FF0000"/>
          <w:sz w:val="24"/>
          <w:szCs w:val="24"/>
        </w:rPr>
        <w:t>Odp</w:t>
      </w:r>
      <w:proofErr w:type="spellEnd"/>
      <w:r w:rsidRPr="00F74A9C">
        <w:rPr>
          <w:rFonts w:asciiTheme="minorHAnsi" w:eastAsia="Times New Roman" w:hAnsiTheme="minorHAnsi" w:cstheme="minorHAnsi"/>
          <w:color w:val="FF0000"/>
          <w:sz w:val="24"/>
          <w:szCs w:val="24"/>
        </w:rPr>
        <w:t>: Routery Wi-Fi i inne aktywne urządzenia sieciowe nie wchodzą w zakres dostawy powyższego postępowania.</w:t>
      </w:r>
    </w:p>
    <w:p w:rsidR="001E09F3" w:rsidRPr="00F74A9C" w:rsidRDefault="001E09F3" w:rsidP="00F74A9C">
      <w:pPr>
        <w:numPr>
          <w:ilvl w:val="0"/>
          <w:numId w:val="1"/>
        </w:numPr>
        <w:spacing w:after="240"/>
        <w:ind w:left="426" w:hanging="426"/>
        <w:rPr>
          <w:rFonts w:asciiTheme="minorHAnsi" w:hAnsiTheme="minorHAnsi" w:cstheme="minorHAnsi"/>
          <w:color w:val="000000"/>
          <w:sz w:val="24"/>
          <w:szCs w:val="24"/>
        </w:rPr>
      </w:pPr>
      <w:r w:rsidRPr="00F74A9C">
        <w:rPr>
          <w:rFonts w:asciiTheme="minorHAnsi" w:hAnsiTheme="minorHAnsi" w:cstheme="minorHAnsi"/>
          <w:color w:val="000000"/>
          <w:sz w:val="24"/>
          <w:szCs w:val="24"/>
        </w:rPr>
        <w:t>Czy sprzęt audio-video (telewizory, projektory i sprzęt nagłaśniający wchodzi w zakres dostawy.</w:t>
      </w:r>
    </w:p>
    <w:p w:rsidR="001E09F3" w:rsidRPr="00F74A9C" w:rsidRDefault="001E09F3" w:rsidP="001C7A77">
      <w:pPr>
        <w:spacing w:after="240"/>
        <w:rPr>
          <w:rFonts w:asciiTheme="minorHAnsi" w:hAnsiTheme="minorHAnsi" w:cstheme="minorHAnsi"/>
          <w:color w:val="FF0000"/>
          <w:sz w:val="24"/>
          <w:szCs w:val="24"/>
        </w:rPr>
      </w:pPr>
      <w:r w:rsidRPr="00F74A9C">
        <w:rPr>
          <w:rFonts w:asciiTheme="minorHAnsi" w:hAnsiTheme="minorHAnsi" w:cstheme="minorHAnsi"/>
          <w:color w:val="FF0000"/>
          <w:sz w:val="24"/>
          <w:szCs w:val="24"/>
        </w:rPr>
        <w:t>Odp. Zamawiający informuje że ww. sprzęt jest poza zakresem dostawy.</w:t>
      </w:r>
    </w:p>
    <w:p w:rsidR="001E09F3" w:rsidRPr="00F74A9C" w:rsidRDefault="001E09F3">
      <w:pPr>
        <w:rPr>
          <w:rFonts w:asciiTheme="minorHAnsi" w:hAnsiTheme="minorHAnsi" w:cstheme="minorHAnsi"/>
          <w:sz w:val="24"/>
          <w:szCs w:val="24"/>
        </w:rPr>
      </w:pPr>
    </w:p>
    <w:p w:rsidR="001C7A77" w:rsidRDefault="00F74A9C" w:rsidP="001E09F3">
      <w:pPr>
        <w:rPr>
          <w:rFonts w:asciiTheme="minorHAnsi" w:hAnsiTheme="minorHAnsi" w:cstheme="minorHAnsi"/>
          <w:color w:val="FF0000"/>
          <w:sz w:val="24"/>
          <w:szCs w:val="24"/>
        </w:rPr>
      </w:pPr>
      <w:r w:rsidRPr="00F74A9C">
        <w:rPr>
          <w:rFonts w:asciiTheme="minorHAnsi" w:eastAsia="Times New Roman" w:hAnsiTheme="minorHAnsi" w:cstheme="minorHAnsi"/>
          <w:sz w:val="24"/>
          <w:szCs w:val="24"/>
          <w:lang w:eastAsia="pl-PL"/>
        </w:rPr>
        <w:t xml:space="preserve">20. </w:t>
      </w:r>
      <w:r w:rsidR="001E09F3" w:rsidRPr="00F74A9C">
        <w:rPr>
          <w:rFonts w:asciiTheme="minorHAnsi" w:eastAsia="Times New Roman" w:hAnsiTheme="minorHAnsi" w:cstheme="minorHAnsi"/>
          <w:sz w:val="24"/>
          <w:szCs w:val="24"/>
          <w:lang w:eastAsia="pl-PL"/>
        </w:rPr>
        <w:t xml:space="preserve">Dotyczy pakietu nr 3 (Centrum Pomocy Psychiatrycznej): </w:t>
      </w:r>
      <w:r w:rsidR="001E09F3" w:rsidRPr="00F74A9C">
        <w:rPr>
          <w:rFonts w:asciiTheme="minorHAnsi" w:eastAsia="Times New Roman" w:hAnsiTheme="minorHAnsi" w:cstheme="minorHAnsi"/>
          <w:sz w:val="24"/>
          <w:szCs w:val="24"/>
          <w:lang w:eastAsia="pl-PL"/>
        </w:rPr>
        <w:br/>
        <w:t>Czy wyposażenie ruchome, takie jak np. łóżka, krzesła, biurka wchodzi w zakres zamówienia?</w:t>
      </w:r>
      <w:r w:rsidR="001E09F3" w:rsidRPr="00F74A9C">
        <w:rPr>
          <w:rFonts w:asciiTheme="minorHAnsi" w:eastAsia="Times New Roman" w:hAnsiTheme="minorHAnsi" w:cstheme="minorHAnsi"/>
          <w:sz w:val="24"/>
          <w:szCs w:val="24"/>
          <w:lang w:eastAsia="pl-PL"/>
        </w:rPr>
        <w:br/>
      </w:r>
    </w:p>
    <w:p w:rsidR="001E09F3" w:rsidRPr="00F74A9C" w:rsidRDefault="001E09F3" w:rsidP="001E09F3">
      <w:pPr>
        <w:rPr>
          <w:rFonts w:asciiTheme="minorHAnsi" w:hAnsiTheme="minorHAnsi" w:cstheme="minorHAnsi"/>
          <w:color w:val="FF0000"/>
          <w:sz w:val="24"/>
          <w:szCs w:val="24"/>
        </w:rPr>
      </w:pPr>
      <w:r w:rsidRPr="00F74A9C">
        <w:rPr>
          <w:rFonts w:asciiTheme="minorHAnsi" w:hAnsiTheme="minorHAnsi" w:cstheme="minorHAnsi"/>
          <w:color w:val="FF0000"/>
          <w:sz w:val="24"/>
          <w:szCs w:val="24"/>
        </w:rPr>
        <w:t>Odp. Zamawiający informuje,  że ww. sprzęt jest poza zakresem dostawy.</w:t>
      </w:r>
    </w:p>
    <w:p w:rsidR="00F74A9C" w:rsidRPr="00F74A9C" w:rsidRDefault="00F74A9C" w:rsidP="001E09F3">
      <w:pPr>
        <w:rPr>
          <w:rFonts w:asciiTheme="minorHAnsi" w:hAnsiTheme="minorHAnsi" w:cstheme="minorHAnsi"/>
          <w:sz w:val="24"/>
          <w:szCs w:val="24"/>
        </w:rPr>
      </w:pPr>
    </w:p>
    <w:p w:rsidR="001E09F3" w:rsidRDefault="00F74A9C" w:rsidP="001E09F3">
      <w:pPr>
        <w:rPr>
          <w:rFonts w:asciiTheme="minorHAnsi" w:hAnsiTheme="minorHAnsi" w:cstheme="minorHAnsi"/>
          <w:sz w:val="24"/>
          <w:szCs w:val="24"/>
        </w:rPr>
      </w:pPr>
      <w:r w:rsidRPr="00F74A9C">
        <w:rPr>
          <w:rFonts w:asciiTheme="minorHAnsi" w:hAnsiTheme="minorHAnsi" w:cstheme="minorHAnsi"/>
          <w:sz w:val="24"/>
          <w:szCs w:val="24"/>
        </w:rPr>
        <w:t>21.</w:t>
      </w:r>
      <w:r w:rsidR="001E09F3" w:rsidRPr="00F74A9C">
        <w:rPr>
          <w:rFonts w:asciiTheme="minorHAnsi" w:hAnsiTheme="minorHAnsi" w:cstheme="minorHAnsi"/>
          <w:sz w:val="24"/>
          <w:szCs w:val="24"/>
        </w:rPr>
        <w:t xml:space="preserve"> Czy wyposażenie multimedialne takie jak komputery, telewizory wchodzi w zakres zamówienia?</w:t>
      </w:r>
    </w:p>
    <w:p w:rsidR="001C7A77" w:rsidRPr="00F74A9C" w:rsidRDefault="001C7A77" w:rsidP="001E09F3">
      <w:pPr>
        <w:rPr>
          <w:rFonts w:asciiTheme="minorHAnsi" w:hAnsiTheme="minorHAnsi" w:cstheme="minorHAnsi"/>
          <w:sz w:val="24"/>
          <w:szCs w:val="24"/>
        </w:rPr>
      </w:pPr>
    </w:p>
    <w:p w:rsidR="001E09F3" w:rsidRPr="00F74A9C" w:rsidRDefault="001E09F3" w:rsidP="001E09F3">
      <w:pPr>
        <w:rPr>
          <w:rFonts w:asciiTheme="minorHAnsi" w:hAnsiTheme="minorHAnsi" w:cstheme="minorHAnsi"/>
          <w:color w:val="FF0000"/>
          <w:sz w:val="24"/>
          <w:szCs w:val="24"/>
        </w:rPr>
      </w:pPr>
      <w:r w:rsidRPr="00F74A9C">
        <w:rPr>
          <w:rFonts w:asciiTheme="minorHAnsi" w:hAnsiTheme="minorHAnsi" w:cstheme="minorHAnsi"/>
          <w:color w:val="FF0000"/>
          <w:sz w:val="24"/>
          <w:szCs w:val="24"/>
        </w:rPr>
        <w:t>Odp. Zamawiający informuje,  że ww. sprzęt jest poza zakresem dostawy.</w:t>
      </w:r>
    </w:p>
    <w:p w:rsidR="001E09F3" w:rsidRPr="00F74A9C" w:rsidRDefault="001E09F3">
      <w:pPr>
        <w:rPr>
          <w:rFonts w:asciiTheme="minorHAnsi" w:hAnsiTheme="minorHAnsi" w:cstheme="minorHAnsi"/>
          <w:sz w:val="24"/>
          <w:szCs w:val="24"/>
        </w:rPr>
      </w:pPr>
    </w:p>
    <w:p w:rsidR="001E09F3" w:rsidRPr="00F74A9C" w:rsidRDefault="00F74A9C" w:rsidP="001E09F3">
      <w:p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22. </w:t>
      </w:r>
      <w:r w:rsidR="001E09F3" w:rsidRPr="00F74A9C">
        <w:rPr>
          <w:rFonts w:asciiTheme="minorHAnsi" w:hAnsiTheme="minorHAnsi" w:cstheme="minorHAnsi"/>
          <w:color w:val="000000"/>
          <w:sz w:val="24"/>
          <w:szCs w:val="24"/>
        </w:rPr>
        <w:t xml:space="preserve">Zamawiający w Rozdziale XXII SWZ wskazał, że określa wysokość zabezpieczenia na poziomie 3% ceny brutto, natomiast w § 15 ust. 1 wzoru umowy wskazał, że Wykonawca jest zobowiązany do wniesienia zabezpieczenia należytego wykonania umowy w wysokości 5% ceny całkowitej brutto podanej w ofercie. </w:t>
      </w:r>
    </w:p>
    <w:p w:rsidR="001E09F3" w:rsidRPr="00F74A9C" w:rsidRDefault="001E09F3" w:rsidP="001E09F3">
      <w:p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Proszę o usunięcie rozbieżności. </w:t>
      </w:r>
    </w:p>
    <w:p w:rsidR="001E09F3" w:rsidRPr="00F74A9C" w:rsidRDefault="001E09F3" w:rsidP="001E09F3">
      <w:p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Niezależnie, wnoszę o obniżenie tej wartości do 2%. </w:t>
      </w:r>
    </w:p>
    <w:p w:rsidR="001E09F3" w:rsidRPr="00F74A9C" w:rsidRDefault="001E09F3" w:rsidP="001E09F3">
      <w:p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 xml:space="preserve">Żądana przez zamawiającego wysokość zabezpieczenia ustalona na maksymalnym „podstawowym” poziomie we wzorze umowy 5% jest zbyt duża oraz nieadekwatna do skali zagrożenia związanego z niewykonaniem lub nienależytym wykonaniem umowy oraz stanowi nieuzasadnione znaczące obciążenie potencjalnych wykonawców. </w:t>
      </w:r>
    </w:p>
    <w:p w:rsidR="001E09F3" w:rsidRPr="00F74A9C" w:rsidRDefault="001E09F3" w:rsidP="001E09F3">
      <w:pPr>
        <w:autoSpaceDE w:val="0"/>
        <w:autoSpaceDN w:val="0"/>
        <w:adjustRightInd w:val="0"/>
        <w:rPr>
          <w:rFonts w:asciiTheme="minorHAnsi" w:hAnsiTheme="minorHAnsi" w:cstheme="minorHAnsi"/>
          <w:color w:val="000000"/>
          <w:sz w:val="24"/>
          <w:szCs w:val="24"/>
        </w:rPr>
      </w:pP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color w:val="000000"/>
          <w:sz w:val="24"/>
          <w:szCs w:val="24"/>
        </w:rPr>
        <w:t xml:space="preserve">Mając na względzie: rodzaj zamówienia (tj. robotę budowlaną) oraz znaczną wartość zamówienia stanowiącego przedmiot postępowania, a także posłużenie się przez Zamawiającego poza cenowym kryterium oceny ofert „Okres gwarancji”, złożenie zabezpieczenia w wysokości 5% ceny oferty brutto, </w:t>
      </w:r>
      <w:r w:rsidRPr="00F74A9C">
        <w:rPr>
          <w:rFonts w:asciiTheme="minorHAnsi" w:hAnsiTheme="minorHAnsi" w:cstheme="minorHAnsi"/>
          <w:sz w:val="24"/>
          <w:szCs w:val="24"/>
        </w:rPr>
        <w:t xml:space="preserve">może pozbawić możliwości ubiegania się o zamówienie podmioty zdolne do jego wykonania, posiadające stosowne kwalifikacje oraz doświadczenie, gdyż koszt złożenia zabezpieczenia w tak znacznej wysokości, również w przedłużonym okresie gwarancji” stanowi istotny składnik cenotwórczy i bezpośrednio wpływa na wzrost cen ofert potencjalnych wykonawców. </w:t>
      </w: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Ponadto, przychylenie się Zamawiającego do wprowadzenia zawnioskowanej zmiany pozwoli na złożenie ofert przez szerszy krąg wykonawców, a co za tym idzie wpłynie na zwiększenie konkurencyjności postępowania i pozwoli realnie obniżyć koszty inwestycji dla Zamawiającego. </w:t>
      </w:r>
    </w:p>
    <w:p w:rsidR="001E09F3" w:rsidRPr="00F74A9C" w:rsidRDefault="001E09F3" w:rsidP="001E09F3">
      <w:pPr>
        <w:autoSpaceDE w:val="0"/>
        <w:autoSpaceDN w:val="0"/>
        <w:adjustRightInd w:val="0"/>
        <w:rPr>
          <w:rFonts w:asciiTheme="minorHAnsi" w:hAnsiTheme="minorHAnsi" w:cstheme="minorHAnsi"/>
          <w:sz w:val="24"/>
          <w:szCs w:val="24"/>
        </w:rPr>
      </w:pPr>
    </w:p>
    <w:p w:rsidR="001E09F3" w:rsidRPr="00F74A9C" w:rsidRDefault="001C7A77" w:rsidP="001C7A77">
      <w:pPr>
        <w:tabs>
          <w:tab w:val="left" w:pos="142"/>
          <w:tab w:val="left" w:pos="284"/>
        </w:tabs>
        <w:spacing w:after="11" w:line="302" w:lineRule="auto"/>
        <w:ind w:right="679"/>
        <w:jc w:val="both"/>
        <w:rPr>
          <w:rFonts w:asciiTheme="minorHAnsi" w:hAnsiTheme="minorHAnsi" w:cstheme="minorHAnsi"/>
          <w:color w:val="FF0000"/>
          <w:sz w:val="24"/>
          <w:szCs w:val="24"/>
        </w:rPr>
      </w:pPr>
      <w:r>
        <w:rPr>
          <w:rFonts w:asciiTheme="minorHAnsi" w:hAnsiTheme="minorHAnsi" w:cstheme="minorHAnsi"/>
          <w:color w:val="FF0000"/>
          <w:sz w:val="24"/>
          <w:szCs w:val="24"/>
        </w:rPr>
        <w:t>O</w:t>
      </w:r>
      <w:r w:rsidR="001E09F3" w:rsidRPr="00F74A9C">
        <w:rPr>
          <w:rFonts w:asciiTheme="minorHAnsi" w:hAnsiTheme="minorHAnsi" w:cstheme="minorHAnsi"/>
          <w:color w:val="FF0000"/>
          <w:sz w:val="24"/>
          <w:szCs w:val="24"/>
        </w:rPr>
        <w:t>dpowiedź: Zamawiający dokonał korekt umów.</w:t>
      </w:r>
    </w:p>
    <w:p w:rsidR="001E09F3" w:rsidRPr="00F74A9C" w:rsidRDefault="001E09F3" w:rsidP="001E09F3">
      <w:pPr>
        <w:autoSpaceDE w:val="0"/>
        <w:autoSpaceDN w:val="0"/>
        <w:adjustRightInd w:val="0"/>
        <w:rPr>
          <w:rFonts w:asciiTheme="minorHAnsi" w:hAnsiTheme="minorHAnsi" w:cstheme="minorHAnsi"/>
          <w:sz w:val="24"/>
          <w:szCs w:val="24"/>
          <w:highlight w:val="magenta"/>
        </w:rPr>
      </w:pPr>
    </w:p>
    <w:p w:rsidR="001E09F3" w:rsidRPr="00F74A9C" w:rsidRDefault="00F74A9C"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23. </w:t>
      </w:r>
      <w:r w:rsidR="001E09F3" w:rsidRPr="00F74A9C">
        <w:rPr>
          <w:rFonts w:asciiTheme="minorHAnsi" w:hAnsiTheme="minorHAnsi" w:cstheme="minorHAnsi"/>
          <w:sz w:val="24"/>
          <w:szCs w:val="24"/>
        </w:rPr>
        <w:t xml:space="preserve">Wnoszę o obniżenie wysokości kar umownych, o których mowa w §16 ust. 1, pkt. 1, lit. b-c, e-f, k, s projektu umowy i ustalenie ich poziomu odpowiednio z 0,1% na 0,01%. </w:t>
      </w: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Ustalone przez Zamawiającego wysokości kar umownych są nadmierne i nieadekwatne do skali naruszenia. Podkreślenia w tym miejscu wymaga, że Zamawiający dysponuje kwotą ok. 18 933 983,74 zł netto na realizację Części 2 i kwotą 9 662 601,63 zł netto na realizację Części 3 zamówienia. Skoro Zamawiający oszacował wartość zamówienia w tej wysokości, to wysoce prawdopodobnym jest, że złożone w postępowaniu oferty będą opiewały na kwoty w tej właśnie wysokości, a zatem kara umowna z tytułu zwłoki np. w nieterminowej realizacji umowy tj. w zakresie m.in. wykonania dokumentacji projektowej czy wykonania robót budowlanych wyniesie odpowiednio dla Pakietu 2 i 3 18 933, 98 zł oraz 9 662,60 zł za każdy dzień zwłoki. </w:t>
      </w:r>
    </w:p>
    <w:p w:rsidR="001E09F3" w:rsidRPr="00F74A9C" w:rsidRDefault="001E09F3" w:rsidP="001E09F3">
      <w:pPr>
        <w:autoSpaceDE w:val="0"/>
        <w:autoSpaceDN w:val="0"/>
        <w:adjustRightInd w:val="0"/>
        <w:rPr>
          <w:rFonts w:asciiTheme="minorHAnsi" w:hAnsiTheme="minorHAnsi" w:cstheme="minorHAnsi"/>
          <w:sz w:val="24"/>
          <w:szCs w:val="24"/>
        </w:rPr>
      </w:pP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W Komentarzu UZP wskazano, że „ustalając górny limit kar umownych, zamawiający powinien mieć na uwadze, że wysokość kary umownej nie powinna prowadzić do nieuzasadnionego wzbogacenia czy naruszenia zasady proporcjonalności, określonej w art. 16 pkt 3 ustawy </w:t>
      </w:r>
      <w:proofErr w:type="spellStart"/>
      <w:r w:rsidRPr="00F74A9C">
        <w:rPr>
          <w:rFonts w:asciiTheme="minorHAnsi" w:hAnsiTheme="minorHAnsi" w:cstheme="minorHAnsi"/>
          <w:sz w:val="24"/>
          <w:szCs w:val="24"/>
        </w:rPr>
        <w:t>Pzp</w:t>
      </w:r>
      <w:proofErr w:type="spellEnd"/>
      <w:r w:rsidRPr="00F74A9C">
        <w:rPr>
          <w:rFonts w:asciiTheme="minorHAnsi" w:hAnsiTheme="minorHAnsi" w:cstheme="minorHAnsi"/>
          <w:sz w:val="24"/>
          <w:szCs w:val="24"/>
        </w:rPr>
        <w:t xml:space="preserve">. Kara umowna, jako surogat odszkodowania, powinna zmierzać do naprawienia szkody wyrządzonej zamawiającemu z tytułu niewykonania lub nienależytego wykonania świadczenia niepieniężnego, natomiast nie powinna stanowić dla niego źródła dodatkowego zysku”. W wyroku z dnia 19 lutego 2010 r. KIO 1839/09 Izba stwierdza: "Z karą rażąco wygórowaną mamy natomiast do czynienia, gdy jej wysokość przekracza granice motywacji wykonawcy do realizacji zamówienia i stanowi przyczynek dla zamawiającego do wzbogacenia się". </w:t>
      </w:r>
    </w:p>
    <w:p w:rsidR="001E09F3" w:rsidRPr="00F74A9C" w:rsidRDefault="001E09F3" w:rsidP="001E09F3">
      <w:pPr>
        <w:autoSpaceDE w:val="0"/>
        <w:autoSpaceDN w:val="0"/>
        <w:adjustRightInd w:val="0"/>
        <w:rPr>
          <w:rFonts w:asciiTheme="minorHAnsi" w:hAnsiTheme="minorHAnsi" w:cstheme="minorHAnsi"/>
          <w:sz w:val="24"/>
          <w:szCs w:val="24"/>
        </w:rPr>
      </w:pP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Ponadto, ustalając maksymalną wysokość kar umownych, zamawiający powinien pamiętać, że określanie restrykcyjnych lub nieproporcjonalnych do wysokości wynagrodzenia wykonawcy kar umownych może powodować, że w postępowaniu złożona zostanie mała liczba ofert lub wykonawcy uwzględnią w cenie ofertowej wysokość kar umownych, co powoduje albo wzrost ceny, albo nieuzasadnioną rozbieżność między cenami w sytuacji, gdy wykonawcy będą odmiennie wyceniać samo ryzyko i jego podstawy (zob. „Prawo zamówień publicznych. Komentarz”, red. </w:t>
      </w:r>
      <w:proofErr w:type="spellStart"/>
      <w:r w:rsidRPr="00F74A9C">
        <w:rPr>
          <w:rFonts w:asciiTheme="minorHAnsi" w:hAnsiTheme="minorHAnsi" w:cstheme="minorHAnsi"/>
          <w:sz w:val="24"/>
          <w:szCs w:val="24"/>
        </w:rPr>
        <w:t>H.Nowak</w:t>
      </w:r>
      <w:proofErr w:type="spellEnd"/>
      <w:r w:rsidRPr="00F74A9C">
        <w:rPr>
          <w:rFonts w:asciiTheme="minorHAnsi" w:hAnsiTheme="minorHAnsi" w:cstheme="minorHAnsi"/>
          <w:sz w:val="24"/>
          <w:szCs w:val="24"/>
        </w:rPr>
        <w:t xml:space="preserve">, </w:t>
      </w:r>
      <w:proofErr w:type="spellStart"/>
      <w:r w:rsidRPr="00F74A9C">
        <w:rPr>
          <w:rFonts w:asciiTheme="minorHAnsi" w:hAnsiTheme="minorHAnsi" w:cstheme="minorHAnsi"/>
          <w:sz w:val="24"/>
          <w:szCs w:val="24"/>
        </w:rPr>
        <w:t>M.Winiarz</w:t>
      </w:r>
      <w:proofErr w:type="spellEnd"/>
      <w:r w:rsidRPr="00F74A9C">
        <w:rPr>
          <w:rFonts w:asciiTheme="minorHAnsi" w:hAnsiTheme="minorHAnsi" w:cstheme="minorHAnsi"/>
          <w:sz w:val="24"/>
          <w:szCs w:val="24"/>
        </w:rPr>
        <w:t xml:space="preserve">, www.uzp.gov.pl, s. 1155). </w:t>
      </w: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W wyroku z dnia 11 lipca 2014 r. KIO 1242/14 Izba stwierdza: "Przeznaczeniem kary umownej nie jest wprowadzanie wyzysku strony umowy realizującej świadczenie niepieniężne i jej krzywdzenie, tylko zapewnienie systemu kontraktowych zabezpieczeń prawidłowej realizacji umowy. Ten zaś nie może prowadzić do konieczności nieuzasadnionego ponoszenia nieproporcjonalnych obciążeń przez wykonawcę". Co więcej, w niektórych orzeczeniach Izba podnosi, że już nawet przypisanie karze umownej roli ściśle odszkodowawczej może mieć nadmierny charakter: "Kary umowne dla zamawiającego nie pełnią roli ściśle odszkodowawczej. Co do zasady ich znacznie ważniejszą, dla zamawiającego, rolą jest ich funkcja stymulacyjna, dyscyplinująca wykonawcę do prawidłowego wykonania zamówienia". (KIO 113/13 i KIO 117/13) </w:t>
      </w:r>
    </w:p>
    <w:p w:rsidR="001E09F3" w:rsidRPr="00F74A9C" w:rsidRDefault="001E09F3" w:rsidP="001E09F3">
      <w:pPr>
        <w:autoSpaceDE w:val="0"/>
        <w:autoSpaceDN w:val="0"/>
        <w:adjustRightInd w:val="0"/>
        <w:rPr>
          <w:rFonts w:asciiTheme="minorHAnsi" w:hAnsiTheme="minorHAnsi" w:cstheme="minorHAnsi"/>
          <w:sz w:val="24"/>
          <w:szCs w:val="24"/>
        </w:rPr>
      </w:pPr>
      <w:r w:rsidRPr="00F74A9C">
        <w:rPr>
          <w:rFonts w:asciiTheme="minorHAnsi" w:hAnsiTheme="minorHAnsi" w:cstheme="minorHAnsi"/>
          <w:sz w:val="24"/>
          <w:szCs w:val="24"/>
        </w:rPr>
        <w:t xml:space="preserve">Obniżenie ustalonych przez Zamawiającego we wzorze umowy wysokości kar umownych pozwoli Wykonawcom na dokonanie prawidłowej i niezawyżonej wyceny ofert, bez zbędnego „doliczania” zawyżonego ryzyka, a jednocześnie nie uniemożliwi Zamawiającemu zachowania </w:t>
      </w:r>
      <w:proofErr w:type="spellStart"/>
      <w:r w:rsidRPr="00F74A9C">
        <w:rPr>
          <w:rFonts w:asciiTheme="minorHAnsi" w:hAnsiTheme="minorHAnsi" w:cstheme="minorHAnsi"/>
          <w:sz w:val="24"/>
          <w:szCs w:val="24"/>
        </w:rPr>
        <w:t>rygorystyczno</w:t>
      </w:r>
      <w:proofErr w:type="spellEnd"/>
      <w:r w:rsidRPr="00F74A9C">
        <w:rPr>
          <w:rFonts w:asciiTheme="minorHAnsi" w:hAnsiTheme="minorHAnsi" w:cstheme="minorHAnsi"/>
          <w:sz w:val="24"/>
          <w:szCs w:val="24"/>
        </w:rPr>
        <w:t xml:space="preserve"> – dyscyplinującego charakteru kar umownych w powiązaniu z newralgicznym dla celów społecznych przedmiotem zamówienia. </w:t>
      </w:r>
    </w:p>
    <w:p w:rsidR="001E09F3" w:rsidRPr="00F74A9C" w:rsidRDefault="001E09F3" w:rsidP="001E09F3">
      <w:pPr>
        <w:autoSpaceDE w:val="0"/>
        <w:autoSpaceDN w:val="0"/>
        <w:adjustRightInd w:val="0"/>
        <w:rPr>
          <w:rFonts w:asciiTheme="minorHAnsi" w:hAnsiTheme="minorHAnsi" w:cstheme="minorHAnsi"/>
          <w:b/>
          <w:bCs/>
          <w:sz w:val="24"/>
          <w:szCs w:val="24"/>
        </w:rPr>
      </w:pPr>
    </w:p>
    <w:p w:rsidR="001E09F3" w:rsidRPr="00F74A9C" w:rsidRDefault="001E09F3" w:rsidP="001C7A77">
      <w:pPr>
        <w:tabs>
          <w:tab w:val="left" w:pos="142"/>
          <w:tab w:val="left" w:pos="284"/>
        </w:tabs>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Odpowiedź: Zamawiający dokonał korekt umów.</w:t>
      </w:r>
    </w:p>
    <w:p w:rsidR="001E09F3" w:rsidRPr="00F74A9C" w:rsidRDefault="001E09F3">
      <w:pPr>
        <w:rPr>
          <w:rFonts w:asciiTheme="minorHAnsi" w:hAnsiTheme="minorHAnsi" w:cstheme="minorHAnsi"/>
          <w:sz w:val="24"/>
          <w:szCs w:val="24"/>
        </w:rPr>
      </w:pPr>
    </w:p>
    <w:p w:rsidR="001E09F3" w:rsidRPr="00F74A9C" w:rsidRDefault="00F74A9C" w:rsidP="00F74A9C">
      <w:pPr>
        <w:rPr>
          <w:rFonts w:asciiTheme="minorHAnsi" w:hAnsiTheme="minorHAnsi" w:cstheme="minorHAnsi"/>
          <w:bCs/>
          <w:color w:val="FF0000"/>
          <w:sz w:val="24"/>
          <w:szCs w:val="24"/>
        </w:rPr>
      </w:pPr>
      <w:r w:rsidRPr="00F74A9C">
        <w:rPr>
          <w:rFonts w:asciiTheme="minorHAnsi" w:hAnsiTheme="minorHAnsi" w:cstheme="minorHAnsi"/>
          <w:sz w:val="24"/>
          <w:szCs w:val="24"/>
        </w:rPr>
        <w:t xml:space="preserve">24. </w:t>
      </w:r>
      <w:r w:rsidR="001E09F3" w:rsidRPr="00F74A9C">
        <w:rPr>
          <w:rFonts w:asciiTheme="minorHAnsi" w:hAnsiTheme="minorHAnsi" w:cstheme="minorHAnsi"/>
          <w:sz w:val="24"/>
          <w:szCs w:val="24"/>
        </w:rPr>
        <w:t>W związku z nieudostępnieniem przez Zamawiającego wszystkich wymaganych dokumentów w przedmiotowym postępowaniu poniżej, jak i w załączniku składamy pytania/wnioski:</w:t>
      </w:r>
      <w:r w:rsidR="001E09F3" w:rsidRPr="00F74A9C">
        <w:rPr>
          <w:rFonts w:asciiTheme="minorHAnsi" w:hAnsiTheme="minorHAnsi" w:cstheme="minorHAnsi"/>
          <w:sz w:val="24"/>
          <w:szCs w:val="24"/>
        </w:rPr>
        <w:br/>
      </w:r>
      <w:r w:rsidR="001E09F3" w:rsidRPr="00F74A9C">
        <w:rPr>
          <w:rFonts w:asciiTheme="minorHAnsi" w:hAnsiTheme="minorHAnsi" w:cstheme="minorHAnsi"/>
          <w:sz w:val="24"/>
          <w:szCs w:val="24"/>
        </w:rPr>
        <w:br/>
        <w:t xml:space="preserve">Prosimy o udostępnienie przez Zamawiającego pliku ESPD (w formacie </w:t>
      </w:r>
      <w:proofErr w:type="spellStart"/>
      <w:r w:rsidR="001E09F3" w:rsidRPr="00F74A9C">
        <w:rPr>
          <w:rFonts w:asciiTheme="minorHAnsi" w:hAnsiTheme="minorHAnsi" w:cstheme="minorHAnsi"/>
          <w:sz w:val="24"/>
          <w:szCs w:val="24"/>
        </w:rPr>
        <w:t>xml</w:t>
      </w:r>
      <w:proofErr w:type="spellEnd"/>
      <w:r w:rsidR="001E09F3" w:rsidRPr="00F74A9C">
        <w:rPr>
          <w:rFonts w:asciiTheme="minorHAnsi" w:hAnsiTheme="minorHAnsi" w:cstheme="minorHAnsi"/>
          <w:sz w:val="24"/>
          <w:szCs w:val="24"/>
        </w:rPr>
        <w:t>) w celu wypełnienia przez Wykonawcę (Jednolity Europejski Dokument Zamówienia składany na podstawie art. 125 ust. 1 ustawy).</w:t>
      </w:r>
      <w:r w:rsidR="001E09F3" w:rsidRPr="00F74A9C">
        <w:rPr>
          <w:rFonts w:asciiTheme="minorHAnsi" w:hAnsiTheme="minorHAnsi" w:cstheme="minorHAnsi"/>
          <w:sz w:val="24"/>
          <w:szCs w:val="24"/>
        </w:rPr>
        <w:br/>
        <w:t>Prosimy o informację czy oświadczenie w postaci JEDZ Wykonawca powinien złożyć wraz z ofertą czy na wezwanie Zamawiającego w późniejszym etapie?</w:t>
      </w:r>
      <w:r w:rsidR="001E09F3" w:rsidRPr="00F74A9C">
        <w:rPr>
          <w:rFonts w:asciiTheme="minorHAnsi" w:hAnsiTheme="minorHAnsi" w:cstheme="minorHAnsi"/>
          <w:sz w:val="24"/>
          <w:szCs w:val="24"/>
        </w:rPr>
        <w:br/>
      </w:r>
      <w:r w:rsidR="001E09F3" w:rsidRPr="00F74A9C">
        <w:rPr>
          <w:rFonts w:asciiTheme="minorHAnsi" w:hAnsiTheme="minorHAnsi" w:cstheme="minorHAnsi"/>
          <w:sz w:val="24"/>
          <w:szCs w:val="24"/>
        </w:rPr>
        <w:br/>
      </w:r>
      <w:r w:rsidR="001E09F3" w:rsidRPr="00F74A9C">
        <w:rPr>
          <w:rFonts w:asciiTheme="minorHAnsi" w:hAnsiTheme="minorHAnsi" w:cstheme="minorHAnsi"/>
          <w:bCs/>
          <w:color w:val="FF0000"/>
          <w:sz w:val="24"/>
          <w:szCs w:val="24"/>
        </w:rPr>
        <w:t xml:space="preserve">Odpowiedź: WYKAZ OŚWIADCZEŃ I DOKUMENTÓW SKŁADANYCH PRZEZ WYKONAWCĘ WRAZ Z OFERTĄ – I etap </w:t>
      </w:r>
    </w:p>
    <w:p w:rsidR="001E09F3" w:rsidRPr="00F74A9C" w:rsidRDefault="001E09F3" w:rsidP="001E09F3">
      <w:pPr>
        <w:autoSpaceDE w:val="0"/>
        <w:autoSpaceDN w:val="0"/>
        <w:adjustRightInd w:val="0"/>
        <w:jc w:val="both"/>
        <w:rPr>
          <w:rFonts w:asciiTheme="minorHAnsi" w:eastAsia="Univers-PL" w:hAnsiTheme="minorHAnsi" w:cstheme="minorHAnsi"/>
          <w:bCs/>
          <w:iCs/>
          <w:color w:val="FF0000"/>
          <w:sz w:val="24"/>
          <w:szCs w:val="24"/>
        </w:rPr>
      </w:pPr>
      <w:r w:rsidRPr="00F74A9C">
        <w:rPr>
          <w:rFonts w:asciiTheme="minorHAnsi" w:eastAsia="Univers-PL" w:hAnsiTheme="minorHAnsi" w:cstheme="minorHAnsi"/>
          <w:bCs/>
          <w:iCs/>
          <w:color w:val="FF0000"/>
          <w:sz w:val="24"/>
          <w:szCs w:val="24"/>
        </w:rPr>
        <w:t xml:space="preserve">Wykonawca jest zobowiązany do składania n/w dokumentów i oświadczeń wraz z ofertą </w:t>
      </w:r>
      <w:r w:rsidRPr="00F74A9C">
        <w:rPr>
          <w:rFonts w:asciiTheme="minorHAnsi" w:eastAsia="Univers-PL" w:hAnsiTheme="minorHAnsi" w:cstheme="minorHAnsi"/>
          <w:bCs/>
          <w:iCs/>
          <w:color w:val="FF0000"/>
          <w:sz w:val="24"/>
          <w:szCs w:val="24"/>
        </w:rPr>
        <w:br/>
        <w:t xml:space="preserve">(dot. załączników nr 1 – 6).  </w:t>
      </w:r>
    </w:p>
    <w:p w:rsidR="001E09F3" w:rsidRPr="00F74A9C" w:rsidRDefault="001E09F3" w:rsidP="001E09F3">
      <w:pPr>
        <w:tabs>
          <w:tab w:val="left" w:pos="851"/>
        </w:tabs>
        <w:spacing w:after="120" w:line="312" w:lineRule="auto"/>
        <w:jc w:val="both"/>
        <w:rPr>
          <w:rFonts w:asciiTheme="minorHAnsi" w:eastAsia="Times New Roman" w:hAnsiTheme="minorHAnsi" w:cstheme="minorHAnsi"/>
          <w:bCs/>
          <w:color w:val="FF0000"/>
          <w:sz w:val="24"/>
          <w:szCs w:val="24"/>
        </w:rPr>
      </w:pPr>
      <w:r w:rsidRPr="00F74A9C">
        <w:rPr>
          <w:rFonts w:asciiTheme="minorHAnsi" w:eastAsia="Times New Roman" w:hAnsiTheme="minorHAnsi" w:cstheme="minorHAnsi"/>
          <w:bCs/>
          <w:color w:val="FF0000"/>
          <w:sz w:val="24"/>
          <w:szCs w:val="24"/>
        </w:rPr>
        <w:t>WYKAZ PODMIOTOWYCH ŚRODKÓW DOWODOWYCH SKŁADANYCH W ODPOWIEDZI NA WEZWANIE ZAMAWIAJĄCEGO PRZEZ WYKONAWCĘ, KTÓREGO OFERTA ZOSTANIE NAJWYŻEJ OCENIONA – II etap tj. (załączniki nr 7– 15)</w:t>
      </w:r>
    </w:p>
    <w:p w:rsidR="001E09F3" w:rsidRPr="00F74A9C" w:rsidRDefault="001E09F3" w:rsidP="001E09F3">
      <w:pPr>
        <w:spacing w:after="11" w:line="302" w:lineRule="auto"/>
        <w:ind w:right="679"/>
        <w:jc w:val="both"/>
        <w:rPr>
          <w:rFonts w:asciiTheme="minorHAnsi" w:hAnsiTheme="minorHAnsi" w:cstheme="minorHAnsi"/>
          <w:color w:val="FF0000"/>
          <w:sz w:val="24"/>
          <w:szCs w:val="24"/>
        </w:rPr>
      </w:pPr>
      <w:r w:rsidRPr="00F74A9C">
        <w:rPr>
          <w:rFonts w:asciiTheme="minorHAnsi" w:hAnsiTheme="minorHAnsi" w:cstheme="minorHAnsi"/>
          <w:color w:val="FF0000"/>
          <w:sz w:val="24"/>
          <w:szCs w:val="24"/>
        </w:rPr>
        <w:t xml:space="preserve">Tak więc na wezwanie Zamawiającego Wykonawca składa załączniki 7-15, w tym m.in. JEDZ stanowiący załącznik nr 7. </w:t>
      </w:r>
    </w:p>
    <w:p w:rsidR="001E09F3" w:rsidRPr="00F74A9C" w:rsidRDefault="001E09F3" w:rsidP="001E09F3">
      <w:pPr>
        <w:rPr>
          <w:rFonts w:asciiTheme="minorHAnsi" w:hAnsiTheme="minorHAnsi" w:cstheme="minorHAnsi"/>
          <w:sz w:val="24"/>
          <w:szCs w:val="24"/>
        </w:rPr>
      </w:pPr>
    </w:p>
    <w:p w:rsidR="001E09F3" w:rsidRPr="00D97C8B" w:rsidRDefault="00F74A9C" w:rsidP="001E09F3">
      <w:p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25.</w:t>
      </w:r>
      <w:r w:rsidR="001E09F3" w:rsidRPr="00D97C8B">
        <w:rPr>
          <w:rFonts w:asciiTheme="minorHAnsi" w:hAnsiTheme="minorHAnsi" w:cstheme="minorHAnsi"/>
          <w:color w:val="000000"/>
          <w:sz w:val="24"/>
          <w:szCs w:val="24"/>
        </w:rPr>
        <w:t xml:space="preserve"> Szanowni Państwo, zwracamy się z prośbą o udzielenie odpowiedzi na zadane poniżej zapytania. </w:t>
      </w:r>
    </w:p>
    <w:p w:rsidR="001E09F3" w:rsidRPr="00D97C8B" w:rsidRDefault="00F74A9C" w:rsidP="00F74A9C">
      <w:pPr>
        <w:autoSpaceDE w:val="0"/>
        <w:autoSpaceDN w:val="0"/>
        <w:adjustRightInd w:val="0"/>
        <w:rPr>
          <w:rFonts w:asciiTheme="minorHAnsi" w:hAnsiTheme="minorHAnsi" w:cstheme="minorHAnsi"/>
          <w:color w:val="000000"/>
          <w:sz w:val="24"/>
          <w:szCs w:val="24"/>
        </w:rPr>
      </w:pPr>
      <w:r w:rsidRPr="00F74A9C">
        <w:rPr>
          <w:rFonts w:asciiTheme="minorHAnsi" w:hAnsiTheme="minorHAnsi" w:cstheme="minorHAnsi"/>
          <w:color w:val="000000"/>
          <w:sz w:val="24"/>
          <w:szCs w:val="24"/>
        </w:rPr>
        <w:t>Z</w:t>
      </w:r>
      <w:r w:rsidR="001E09F3" w:rsidRPr="00D97C8B">
        <w:rPr>
          <w:rFonts w:asciiTheme="minorHAnsi" w:hAnsiTheme="minorHAnsi" w:cstheme="minorHAnsi"/>
          <w:color w:val="000000"/>
          <w:sz w:val="24"/>
          <w:szCs w:val="24"/>
        </w:rPr>
        <w:t xml:space="preserve">amawiający w Załączniku nr 2B wymaga rozbudowy licencji dla posiadanego systemu wirtualizacji. Zamawiający wyspecyfikował posiadany przez siebie serwer, dla którego ma być dobrana licencja, jednak specyfikacja ta nie wskazuje na serwer. Według Wykonawcy wskazuje ona na urządzenie sieciowe (przełącznik sieciowy). W związku z tym Wykonawca nie może w sposób prawidłowy dokonać wyboru licencji, który to wybór jest uzależniony od procesora/procesorów zawartych w serwerze. </w:t>
      </w:r>
    </w:p>
    <w:p w:rsidR="001E09F3" w:rsidRPr="007B5789" w:rsidRDefault="001E09F3" w:rsidP="001E09F3">
      <w:pPr>
        <w:spacing w:before="100" w:beforeAutospacing="1" w:after="100" w:afterAutospacing="1"/>
        <w:rPr>
          <w:rFonts w:asciiTheme="minorHAnsi" w:eastAsia="Calibri" w:hAnsiTheme="minorHAnsi" w:cstheme="minorHAnsi"/>
          <w:color w:val="FF0000"/>
          <w:sz w:val="24"/>
          <w:szCs w:val="24"/>
          <w:lang w:eastAsia="pl-PL"/>
        </w:rPr>
      </w:pPr>
      <w:r w:rsidRPr="00F74A9C">
        <w:rPr>
          <w:rFonts w:asciiTheme="minorHAnsi" w:eastAsia="Calibri" w:hAnsiTheme="minorHAnsi" w:cstheme="minorHAnsi"/>
          <w:b/>
          <w:bCs/>
          <w:color w:val="FF0000"/>
          <w:sz w:val="24"/>
          <w:szCs w:val="24"/>
          <w:lang w:eastAsia="pl-PL"/>
        </w:rPr>
        <w:t>Odp.: </w:t>
      </w:r>
      <w:r w:rsidRPr="007B5789">
        <w:rPr>
          <w:rFonts w:asciiTheme="minorHAnsi" w:eastAsia="Calibri" w:hAnsiTheme="minorHAnsi" w:cstheme="minorHAnsi"/>
          <w:color w:val="FF0000"/>
          <w:sz w:val="24"/>
          <w:szCs w:val="24"/>
          <w:lang w:eastAsia="pl-PL"/>
        </w:rPr>
        <w:t>Zaszła pomyłka przy implementacji specyfikacji urządzenia, na podstawie którego ma zostać podjęty zakup Licencji systemu wirtualizacji. Poniżej umieszczam tabelę przedstawiającą specyfikację serwera, dla którego powinien zostać zakupiony system wirtualizacji. Poniżej wskazane urządzenie jest dwuprocesorowe:</w:t>
      </w:r>
    </w:p>
    <w:tbl>
      <w:tblPr>
        <w:tblW w:w="5950" w:type="pct"/>
        <w:tblCellSpacing w:w="15" w:type="dxa"/>
        <w:tblLook w:val="04A0" w:firstRow="1" w:lastRow="0" w:firstColumn="1" w:lastColumn="0" w:noHBand="0" w:noVBand="1"/>
      </w:tblPr>
      <w:tblGrid>
        <w:gridCol w:w="446"/>
        <w:gridCol w:w="2061"/>
        <w:gridCol w:w="5342"/>
        <w:gridCol w:w="2947"/>
      </w:tblGrid>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F74A9C">
              <w:rPr>
                <w:rFonts w:asciiTheme="minorHAnsi" w:eastAsia="Calibri" w:hAnsiTheme="minorHAnsi" w:cstheme="minorHAnsi"/>
                <w:b/>
                <w:bCs/>
                <w:color w:val="FF0000"/>
                <w:sz w:val="24"/>
                <w:szCs w:val="24"/>
                <w:lang w:eastAsia="pl-PL"/>
              </w:rPr>
              <w:t>Lp.</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F74A9C">
              <w:rPr>
                <w:rFonts w:asciiTheme="minorHAnsi" w:eastAsia="Calibri" w:hAnsiTheme="minorHAnsi" w:cstheme="minorHAnsi"/>
                <w:b/>
                <w:bCs/>
                <w:color w:val="FF0000"/>
                <w:sz w:val="24"/>
                <w:szCs w:val="24"/>
                <w:lang w:eastAsia="pl-PL"/>
              </w:rPr>
              <w:t>Nazwa Wyposażenia</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F74A9C">
              <w:rPr>
                <w:rFonts w:asciiTheme="minorHAnsi" w:eastAsia="Calibri" w:hAnsiTheme="minorHAnsi" w:cstheme="minorHAnsi"/>
                <w:b/>
                <w:bCs/>
                <w:color w:val="FF0000"/>
                <w:sz w:val="24"/>
                <w:szCs w:val="24"/>
                <w:lang w:eastAsia="pl-PL"/>
              </w:rPr>
              <w:t>Uzasadnienie/Specyfikacja</w:t>
            </w:r>
          </w:p>
        </w:tc>
        <w:tc>
          <w:tcPr>
            <w:tcW w:w="14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F74A9C">
              <w:rPr>
                <w:rFonts w:asciiTheme="minorHAnsi" w:eastAsia="Calibri" w:hAnsiTheme="minorHAnsi" w:cstheme="minorHAnsi"/>
                <w:b/>
                <w:bCs/>
                <w:color w:val="FF0000"/>
                <w:sz w:val="24"/>
                <w:szCs w:val="24"/>
                <w:lang w:eastAsia="pl-PL"/>
              </w:rPr>
              <w:t>Parametry oferowanego komponentu</w:t>
            </w: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1.</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OBUDOWA</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Typu RACK, wysokość nie więcej niż 1U;</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Szyny umożliwiające wysunięcie serwera z szafy stelażowej;</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Ramię porządkujące ułożenie przewodów z tyłu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zainstalowania 8 dysków twardych hot plug 2,5”;</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zainstalowania fizycznego zabezpieczenia (np. na klucz lub elektrozamek) uniemożliwiającego fizyczny dostęp do dysków twardych;</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Zainstalowane 4 szt. dysków SSD SATA 3,84 TB DWPD 3,5 mix-</w:t>
            </w:r>
            <w:proofErr w:type="spellStart"/>
            <w:r w:rsidRPr="007B5789">
              <w:rPr>
                <w:rFonts w:asciiTheme="minorHAnsi" w:eastAsia="Calibri" w:hAnsiTheme="minorHAnsi" w:cstheme="minorHAnsi"/>
                <w:color w:val="FF0000"/>
                <w:sz w:val="24"/>
                <w:szCs w:val="24"/>
                <w:lang w:eastAsia="pl-PL"/>
              </w:rPr>
              <w:t>use</w:t>
            </w:r>
            <w:proofErr w:type="spellEnd"/>
            <w:r w:rsidRPr="007B5789">
              <w:rPr>
                <w:rFonts w:asciiTheme="minorHAnsi" w:eastAsia="Calibri" w:hAnsiTheme="minorHAnsi" w:cstheme="minorHAnsi"/>
                <w:color w:val="FF0000"/>
                <w:sz w:val="24"/>
                <w:szCs w:val="24"/>
                <w:lang w:eastAsia="pl-PL"/>
              </w:rPr>
              <w:t xml:space="preserve"> wraz z kontrolerem (posiadającym CACHE min 4GB wraz z podtrzymaniem FBU) umożliwiający konfigurację w RAID 0, 1, 10, 5, 50, 6, 60.</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Możliwość zainstalowania dedykowanego wewnętrznego napędu </w:t>
            </w:r>
            <w:proofErr w:type="spellStart"/>
            <w:r w:rsidRPr="007B5789">
              <w:rPr>
                <w:rFonts w:asciiTheme="minorHAnsi" w:eastAsia="Calibri" w:hAnsiTheme="minorHAnsi" w:cstheme="minorHAnsi"/>
                <w:color w:val="FF0000"/>
                <w:sz w:val="24"/>
                <w:szCs w:val="24"/>
                <w:lang w:eastAsia="pl-PL"/>
              </w:rPr>
              <w:t>blu-ray</w:t>
            </w:r>
            <w:proofErr w:type="spellEnd"/>
            <w:r w:rsidRPr="007B5789">
              <w:rPr>
                <w:rFonts w:asciiTheme="minorHAnsi" w:eastAsia="Calibri" w:hAnsiTheme="minorHAnsi" w:cstheme="minorHAnsi"/>
                <w:color w:val="FF0000"/>
                <w:sz w:val="24"/>
                <w:szCs w:val="24"/>
                <w:lang w:eastAsia="pl-PL"/>
              </w:rPr>
              <w:t>.</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2.</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PŁYTA GŁÓWNA</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Dwuprocesorowa;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Wyprodukowana i zaprojektowana przez producenta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instalacji procesorów 40-rdzeniowych;</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zainstalowania modułu TPM 2.0;</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4 złącz PCI Express generacji 4 w tym: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3 fizyczne złącza o prędkości x16;</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1 fizyczne złącza o prędkości x8;</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Opcjonalnie możliwość uzyskania złącza typu pełnej wysokości;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32 gniazda pamięci RAM;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Obsługa minimum 4TB pamięci RAM DDR4;</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Obsługa minimum 10TB pamięci (RAM DDR4 + pamięć nieulotna);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Wsparcie dla technologii: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Memory </w:t>
            </w:r>
            <w:proofErr w:type="spellStart"/>
            <w:r w:rsidRPr="007B5789">
              <w:rPr>
                <w:rFonts w:asciiTheme="minorHAnsi" w:eastAsia="Calibri" w:hAnsiTheme="minorHAnsi" w:cstheme="minorHAnsi"/>
                <w:color w:val="FF0000"/>
                <w:sz w:val="24"/>
                <w:szCs w:val="24"/>
                <w:lang w:eastAsia="pl-PL"/>
              </w:rPr>
              <w:t>Scrubbing</w:t>
            </w:r>
            <w:proofErr w:type="spellEnd"/>
            <w:r w:rsidRPr="007B5789">
              <w:rPr>
                <w:rFonts w:asciiTheme="minorHAnsi" w:eastAsia="Calibri" w:hAnsiTheme="minorHAnsi" w:cstheme="minorHAnsi"/>
                <w:color w:val="FF0000"/>
                <w:sz w:val="24"/>
                <w:szCs w:val="24"/>
                <w:lang w:eastAsia="pl-PL"/>
              </w:rPr>
              <w:t>;</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SDDC;</w:t>
            </w:r>
            <w:r w:rsidR="001C7A77">
              <w:rPr>
                <w:rFonts w:asciiTheme="minorHAnsi" w:eastAsia="Calibri" w:hAnsiTheme="minorHAnsi" w:cstheme="minorHAnsi"/>
                <w:color w:val="FF0000"/>
                <w:sz w:val="24"/>
                <w:szCs w:val="24"/>
                <w:lang w:eastAsia="pl-PL"/>
              </w:rPr>
              <w:t xml:space="preserve">    </w:t>
            </w:r>
            <w:r w:rsidRPr="007B5789">
              <w:rPr>
                <w:rFonts w:asciiTheme="minorHAnsi" w:eastAsia="Calibri" w:hAnsiTheme="minorHAnsi" w:cstheme="minorHAnsi"/>
                <w:color w:val="FF0000"/>
                <w:sz w:val="24"/>
                <w:szCs w:val="24"/>
                <w:lang w:eastAsia="pl-PL"/>
              </w:rPr>
              <w:t>-              ECC;</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Memory Mirroring;</w:t>
            </w:r>
            <w:r w:rsidR="001C7A77">
              <w:rPr>
                <w:rFonts w:asciiTheme="minorHAnsi" w:eastAsia="Calibri" w:hAnsiTheme="minorHAnsi" w:cstheme="minorHAnsi"/>
                <w:color w:val="FF0000"/>
                <w:sz w:val="24"/>
                <w:szCs w:val="24"/>
                <w:lang w:eastAsia="pl-PL"/>
              </w:rPr>
              <w:t xml:space="preserve">    </w:t>
            </w:r>
            <w:r w:rsidRPr="007B5789">
              <w:rPr>
                <w:rFonts w:asciiTheme="minorHAnsi" w:eastAsia="Calibri" w:hAnsiTheme="minorHAnsi" w:cstheme="minorHAnsi"/>
                <w:color w:val="FF0000"/>
                <w:sz w:val="24"/>
                <w:szCs w:val="24"/>
                <w:lang w:eastAsia="pl-PL"/>
              </w:rPr>
              <w:t>-              ADDDC.</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Obsługa pamięci nieulotnej instalowanej w gniazdach pamięci RAM (przez pamięć nieulotną rozumie się moduły pamięci zachowujące swój stan np. w przypadku nagłej awarii zasilania, nie dopuszcza się podtrzymania bateryjnego stanu pamięci);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Minimum 2 </w:t>
            </w:r>
            <w:proofErr w:type="spellStart"/>
            <w:r w:rsidRPr="007B5789">
              <w:rPr>
                <w:rFonts w:asciiTheme="minorHAnsi" w:eastAsia="Calibri" w:hAnsiTheme="minorHAnsi" w:cstheme="minorHAnsi"/>
                <w:color w:val="FF0000"/>
                <w:sz w:val="24"/>
                <w:szCs w:val="24"/>
                <w:lang w:eastAsia="pl-PL"/>
              </w:rPr>
              <w:t>sloty</w:t>
            </w:r>
            <w:proofErr w:type="spellEnd"/>
            <w:r w:rsidRPr="007B5789">
              <w:rPr>
                <w:rFonts w:asciiTheme="minorHAnsi" w:eastAsia="Calibri" w:hAnsiTheme="minorHAnsi" w:cstheme="minorHAnsi"/>
                <w:color w:val="FF0000"/>
                <w:sz w:val="24"/>
                <w:szCs w:val="24"/>
                <w:lang w:eastAsia="pl-PL"/>
              </w:rPr>
              <w:t xml:space="preserve"> dla dysków M.2 na płycie głównej (lub dedykowanej karcie PCI Express) nie zajmujące klatek dla dysków hot-plug.</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3.</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PROCESORY</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Dwa procesory 24-rdzeniowy;</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Taktowanie 2,4GHz;</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architektura x86_64;</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osiągające w teście SPEC CPU2017 </w:t>
            </w:r>
            <w:proofErr w:type="spellStart"/>
            <w:r w:rsidRPr="007B5789">
              <w:rPr>
                <w:rFonts w:asciiTheme="minorHAnsi" w:eastAsia="Calibri" w:hAnsiTheme="minorHAnsi" w:cstheme="minorHAnsi"/>
                <w:color w:val="FF0000"/>
                <w:sz w:val="24"/>
                <w:szCs w:val="24"/>
                <w:lang w:eastAsia="pl-PL"/>
              </w:rPr>
              <w:t>Floating</w:t>
            </w:r>
            <w:proofErr w:type="spellEnd"/>
            <w:r w:rsidRPr="007B5789">
              <w:rPr>
                <w:rFonts w:asciiTheme="minorHAnsi" w:eastAsia="Calibri" w:hAnsiTheme="minorHAnsi" w:cstheme="minorHAnsi"/>
                <w:color w:val="FF0000"/>
                <w:sz w:val="24"/>
                <w:szCs w:val="24"/>
                <w:lang w:eastAsia="pl-PL"/>
              </w:rPr>
              <w:t xml:space="preserve"> Point wynik SPECrate2017_fp_base minimum 395 pkt  (wynik osiągnięty dla zainstalowanych dla dwóch procesorów w dowolnym serwerze z oferty producenta). Wynik musi być opublikowany na stronie:</w:t>
            </w:r>
          </w:p>
          <w:p w:rsidR="001E09F3" w:rsidRPr="007B5789" w:rsidRDefault="00447DE2" w:rsidP="009F516D">
            <w:pPr>
              <w:spacing w:before="100" w:beforeAutospacing="1" w:after="100" w:afterAutospacing="1"/>
              <w:rPr>
                <w:rFonts w:asciiTheme="minorHAnsi" w:eastAsia="Calibri" w:hAnsiTheme="minorHAnsi" w:cstheme="minorHAnsi"/>
                <w:color w:val="FF0000"/>
                <w:sz w:val="24"/>
                <w:szCs w:val="24"/>
                <w:lang w:eastAsia="pl-PL"/>
              </w:rPr>
            </w:pPr>
            <w:hyperlink r:id="rId8" w:history="1">
              <w:r w:rsidR="001E09F3" w:rsidRPr="00F74A9C">
                <w:rPr>
                  <w:rFonts w:asciiTheme="minorHAnsi" w:eastAsia="Calibri" w:hAnsiTheme="minorHAnsi" w:cstheme="minorHAnsi"/>
                  <w:color w:val="FF0000"/>
                  <w:sz w:val="24"/>
                  <w:szCs w:val="24"/>
                  <w:u w:val="single"/>
                  <w:lang w:eastAsia="pl-PL"/>
                </w:rPr>
                <w:t>https://www.spec.org/cpu2017/results/cpu2017.html</w:t>
              </w:r>
            </w:hyperlink>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4.</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PAMIĘĆ RAM</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512 GB pamięci RAM;</w:t>
            </w:r>
          </w:p>
          <w:p w:rsidR="001E09F3" w:rsidRPr="007B5789" w:rsidRDefault="001E09F3" w:rsidP="001C7A77">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DDR4 </w:t>
            </w:r>
            <w:proofErr w:type="spellStart"/>
            <w:r w:rsidRPr="007B5789">
              <w:rPr>
                <w:rFonts w:asciiTheme="minorHAnsi" w:eastAsia="Calibri" w:hAnsiTheme="minorHAnsi" w:cstheme="minorHAnsi"/>
                <w:color w:val="FF0000"/>
                <w:sz w:val="24"/>
                <w:szCs w:val="24"/>
                <w:lang w:eastAsia="pl-PL"/>
              </w:rPr>
              <w:t>Registered</w:t>
            </w:r>
            <w:proofErr w:type="spellEnd"/>
            <w:r w:rsidRPr="007B5789">
              <w:rPr>
                <w:rFonts w:asciiTheme="minorHAnsi" w:eastAsia="Calibri" w:hAnsiTheme="minorHAnsi" w:cstheme="minorHAnsi"/>
                <w:color w:val="FF0000"/>
                <w:sz w:val="24"/>
                <w:szCs w:val="24"/>
                <w:lang w:eastAsia="pl-PL"/>
              </w:rPr>
              <w:t xml:space="preserve">;•    3200 </w:t>
            </w:r>
            <w:proofErr w:type="spellStart"/>
            <w:r w:rsidRPr="007B5789">
              <w:rPr>
                <w:rFonts w:asciiTheme="minorHAnsi" w:eastAsia="Calibri" w:hAnsiTheme="minorHAnsi" w:cstheme="minorHAnsi"/>
                <w:color w:val="FF0000"/>
                <w:sz w:val="24"/>
                <w:szCs w:val="24"/>
                <w:lang w:eastAsia="pl-PL"/>
              </w:rPr>
              <w:t>Mhz</w:t>
            </w:r>
            <w:proofErr w:type="spellEnd"/>
            <w:r w:rsidRPr="007B5789">
              <w:rPr>
                <w:rFonts w:asciiTheme="minorHAnsi" w:eastAsia="Calibri" w:hAnsiTheme="minorHAnsi" w:cstheme="minorHAnsi"/>
                <w:color w:val="FF0000"/>
                <w:sz w:val="24"/>
                <w:szCs w:val="24"/>
                <w:lang w:eastAsia="pl-PL"/>
              </w:rPr>
              <w:t>.</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5.</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KONTROLERY LAN</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Karta LAN, nie zajmująca żadnego z dostępnych slotów PCI Express, wyposażona minimum w interfejsy: 2x 10Gbit SFP+ obsadzone modułami MMF LC z możliwością rozbudowy do 6x 10Gbit SFP+;</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Możliwość uzyskania czterech interfejsów 100Gbit QSFP28 bez konieczności instalacji kart w slotach </w:t>
            </w:r>
            <w:proofErr w:type="spellStart"/>
            <w:r w:rsidRPr="007B5789">
              <w:rPr>
                <w:rFonts w:asciiTheme="minorHAnsi" w:eastAsia="Calibri" w:hAnsiTheme="minorHAnsi" w:cstheme="minorHAnsi"/>
                <w:color w:val="FF0000"/>
                <w:sz w:val="24"/>
                <w:szCs w:val="24"/>
                <w:lang w:eastAsia="pl-PL"/>
              </w:rPr>
              <w:t>PCIe</w:t>
            </w:r>
            <w:proofErr w:type="spellEnd"/>
            <w:r w:rsidRPr="007B5789">
              <w:rPr>
                <w:rFonts w:asciiTheme="minorHAnsi" w:eastAsia="Calibri" w:hAnsiTheme="minorHAnsi" w:cstheme="minorHAnsi"/>
                <w:color w:val="FF0000"/>
                <w:sz w:val="24"/>
                <w:szCs w:val="24"/>
                <w:lang w:eastAsia="pl-PL"/>
              </w:rPr>
              <w:t>.</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6.</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KONTROLERY I/O</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Zainstalowana karta FC 2x 16Gbit MMF LC.</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7.</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PORTY</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Zintegrowana karta graficzna ze złączem VGA z tyłu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1 port USB 3.0 wewnętrzne;</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2 porty USB 3.0 dostępne z tyłu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2 porty USB 3.0 na panelu przednim;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Opcjonalny port serial, możliwość wykorzystania portu serial do zarządzania serwerem;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Ilość dostępnych złącz USB nie może być osiągnięta poprzez stosowanie zewnętrznych przejściówek, rozgałęziaczy czy dodatkowych kart rozszerzeń zajmujących jakikolwiek slot PCI Express i/lub USB serwera.</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8.</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ZASILANIE, CHŁODZENIE</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Redundantne zasilacze </w:t>
            </w:r>
            <w:proofErr w:type="spellStart"/>
            <w:r w:rsidRPr="007B5789">
              <w:rPr>
                <w:rFonts w:asciiTheme="minorHAnsi" w:eastAsia="Calibri" w:hAnsiTheme="minorHAnsi" w:cstheme="minorHAnsi"/>
                <w:color w:val="FF0000"/>
                <w:sz w:val="24"/>
                <w:szCs w:val="24"/>
                <w:lang w:eastAsia="pl-PL"/>
              </w:rPr>
              <w:t>hotplug</w:t>
            </w:r>
            <w:proofErr w:type="spellEnd"/>
            <w:r w:rsidRPr="007B5789">
              <w:rPr>
                <w:rFonts w:asciiTheme="minorHAnsi" w:eastAsia="Calibri" w:hAnsiTheme="minorHAnsi" w:cstheme="minorHAnsi"/>
                <w:color w:val="FF0000"/>
                <w:sz w:val="24"/>
                <w:szCs w:val="24"/>
                <w:lang w:eastAsia="pl-PL"/>
              </w:rPr>
              <w:t xml:space="preserve"> o sprawności 94% (tzw. klasa TITANIUM) o mocy minimalnej 900W;</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Redundantne wentylatory </w:t>
            </w:r>
            <w:proofErr w:type="spellStart"/>
            <w:r w:rsidRPr="007B5789">
              <w:rPr>
                <w:rFonts w:asciiTheme="minorHAnsi" w:eastAsia="Calibri" w:hAnsiTheme="minorHAnsi" w:cstheme="minorHAnsi"/>
                <w:color w:val="FF0000"/>
                <w:sz w:val="24"/>
                <w:szCs w:val="24"/>
                <w:lang w:eastAsia="pl-PL"/>
              </w:rPr>
              <w:t>hotplug</w:t>
            </w:r>
            <w:proofErr w:type="spellEnd"/>
            <w:r w:rsidRPr="007B5789">
              <w:rPr>
                <w:rFonts w:asciiTheme="minorHAnsi" w:eastAsia="Calibri" w:hAnsiTheme="minorHAnsi" w:cstheme="minorHAnsi"/>
                <w:color w:val="FF0000"/>
                <w:sz w:val="24"/>
                <w:szCs w:val="24"/>
                <w:lang w:eastAsia="pl-PL"/>
              </w:rPr>
              <w:t>;</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9.</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ZARZĄDZANIE</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Wbudowane diody informacyjne lub wyświetlacz informujące o stanie serwera - system przewidywania, rozpoznawania awarii;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informacja o statusie pracy (poprawny, przewidywana usterka lub usterka) następujących komponentów:</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karty rozszerzeń zainstalowane w dowolnym  slocie PCI Express;</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procesory CPU;</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pamięć RAM z dokładnością umożliwiającą jednoznaczną identyfikację uszkodzonego modułu pamięci RAM;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wbudowany na płycie głównej nośnik pamięci M.2 SSD;</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status karty zrządzającej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wentylatory;</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bateria podtrzymująca ustawienia BIOS płyty główne;</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zasilacze.</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system przewidywania/rozpoznawania awarii musi być niezależny i działać w przypadku odłączenia kabli zasilających serwera (podtrzymywany kondensatorowo lub bateryjnie w celu uruchomienia przy odłączonym zasilaniu sieciowym).</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10.</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ZINTEGROWANY Z PŁYTĄ GŁÓWNĄ SERWERA KONTROLER SPRZĘTOWY ZDALNEGO ZARZĄDZANIA ZGODNY Z IPMI 2.0</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Niezależny od systemu operacyjnego, sprzętowy kontroler umożliwiający pełne zarządzanie, zdalny restart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Dedykowana karta LAN 1 </w:t>
            </w:r>
            <w:proofErr w:type="spellStart"/>
            <w:r w:rsidRPr="007B5789">
              <w:rPr>
                <w:rFonts w:asciiTheme="minorHAnsi" w:eastAsia="Calibri" w:hAnsiTheme="minorHAnsi" w:cstheme="minorHAnsi"/>
                <w:color w:val="FF0000"/>
                <w:sz w:val="24"/>
                <w:szCs w:val="24"/>
                <w:lang w:eastAsia="pl-PL"/>
              </w:rPr>
              <w:t>Gb</w:t>
            </w:r>
            <w:proofErr w:type="spellEnd"/>
            <w:r w:rsidRPr="007B5789">
              <w:rPr>
                <w:rFonts w:asciiTheme="minorHAnsi" w:eastAsia="Calibri" w:hAnsiTheme="minorHAnsi" w:cstheme="minorHAnsi"/>
                <w:color w:val="FF0000"/>
                <w:sz w:val="24"/>
                <w:szCs w:val="24"/>
                <w:lang w:eastAsia="pl-PL"/>
              </w:rPr>
              <w:t>/s, dedykowane złącze RJ-45 do komunikacji wyłącznie z kontrolerem zdalnego zarządzania z możliwością przeniesienia tej komunikacji na inną kartę sieciową współdzieloną z systemem operacyjnym;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Dostęp poprzez przeglądarkę Web, SSH;</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Zarządzanie mocą i jej zużyciem oraz monitoring zużycia energii;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Zarządzanie alarmami (zdarzenia poprzez SNMP);</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przejęcia konsoli tekstowej;</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zarządzania przez 6 administratorów jednocześnie;</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Przekierowanie konsoli graficznej na poziomie sprzętowym oraz możliwość montowania zdalnych napędów i ich obrazów na poziomie sprzętowym (cyfrowy KVM);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Obsługa serwerów </w:t>
            </w:r>
            <w:proofErr w:type="spellStart"/>
            <w:r w:rsidRPr="007B5789">
              <w:rPr>
                <w:rFonts w:asciiTheme="minorHAnsi" w:eastAsia="Calibri" w:hAnsiTheme="minorHAnsi" w:cstheme="minorHAnsi"/>
                <w:color w:val="FF0000"/>
                <w:sz w:val="24"/>
                <w:szCs w:val="24"/>
                <w:lang w:eastAsia="pl-PL"/>
              </w:rPr>
              <w:t>proxy</w:t>
            </w:r>
            <w:proofErr w:type="spellEnd"/>
            <w:r w:rsidRPr="007B5789">
              <w:rPr>
                <w:rFonts w:asciiTheme="minorHAnsi" w:eastAsia="Calibri" w:hAnsiTheme="minorHAnsi" w:cstheme="minorHAnsi"/>
                <w:color w:val="FF0000"/>
                <w:sz w:val="24"/>
                <w:szCs w:val="24"/>
                <w:lang w:eastAsia="pl-PL"/>
              </w:rPr>
              <w:t xml:space="preserve"> (autentykacja);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Obsługa VLAN;</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Możliwość konfiguracji parametru Max. </w:t>
            </w:r>
            <w:proofErr w:type="spellStart"/>
            <w:r w:rsidRPr="007B5789">
              <w:rPr>
                <w:rFonts w:asciiTheme="minorHAnsi" w:eastAsia="Calibri" w:hAnsiTheme="minorHAnsi" w:cstheme="minorHAnsi"/>
                <w:color w:val="FF0000"/>
                <w:sz w:val="24"/>
                <w:szCs w:val="24"/>
                <w:lang w:eastAsia="pl-PL"/>
              </w:rPr>
              <w:t>Transmission</w:t>
            </w:r>
            <w:proofErr w:type="spellEnd"/>
            <w:r w:rsidRPr="007B5789">
              <w:rPr>
                <w:rFonts w:asciiTheme="minorHAnsi" w:eastAsia="Calibri" w:hAnsiTheme="minorHAnsi" w:cstheme="minorHAnsi"/>
                <w:color w:val="FF0000"/>
                <w:sz w:val="24"/>
                <w:szCs w:val="24"/>
                <w:lang w:eastAsia="pl-PL"/>
              </w:rPr>
              <w:t xml:space="preserve"> Unit (MTU);</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Wsparcie dla protokołu SSDP;</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Obsługa protokołów TLS 1.2, SSL v3;</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Obsługa protokołu LDAP;</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Integracja z HP SIM;</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Synchronizacja czasu poprzez protokół NTP;</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backupu i odtworzenia ustawień bios serwera oraz ustawień karty zarządzającej.</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Dedykowana, do wbudowania w kartę zarządzającą (lub zainstalowana) pamięć </w:t>
            </w:r>
            <w:proofErr w:type="spellStart"/>
            <w:r w:rsidRPr="007B5789">
              <w:rPr>
                <w:rFonts w:asciiTheme="minorHAnsi" w:eastAsia="Calibri" w:hAnsiTheme="minorHAnsi" w:cstheme="minorHAnsi"/>
                <w:color w:val="FF0000"/>
                <w:sz w:val="24"/>
                <w:szCs w:val="24"/>
                <w:lang w:eastAsia="pl-PL"/>
              </w:rPr>
              <w:t>flash</w:t>
            </w:r>
            <w:proofErr w:type="spellEnd"/>
            <w:r w:rsidRPr="007B5789">
              <w:rPr>
                <w:rFonts w:asciiTheme="minorHAnsi" w:eastAsia="Calibri" w:hAnsiTheme="minorHAnsi" w:cstheme="minorHAnsi"/>
                <w:color w:val="FF0000"/>
                <w:sz w:val="24"/>
                <w:szCs w:val="24"/>
                <w:lang w:eastAsia="pl-PL"/>
              </w:rPr>
              <w:t xml:space="preserve"> o pojemności minimum 16 GB;</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Możliwość zdalnej </w:t>
            </w:r>
            <w:proofErr w:type="spellStart"/>
            <w:r w:rsidRPr="007B5789">
              <w:rPr>
                <w:rFonts w:asciiTheme="minorHAnsi" w:eastAsia="Calibri" w:hAnsiTheme="minorHAnsi" w:cstheme="minorHAnsi"/>
                <w:color w:val="FF0000"/>
                <w:sz w:val="24"/>
                <w:szCs w:val="24"/>
                <w:lang w:eastAsia="pl-PL"/>
              </w:rPr>
              <w:t>reinstalacji</w:t>
            </w:r>
            <w:proofErr w:type="spellEnd"/>
            <w:r w:rsidRPr="007B5789">
              <w:rPr>
                <w:rFonts w:asciiTheme="minorHAnsi" w:eastAsia="Calibri" w:hAnsiTheme="minorHAnsi" w:cstheme="minorHAnsi"/>
                <w:color w:val="FF0000"/>
                <w:sz w:val="24"/>
                <w:szCs w:val="24"/>
                <w:lang w:eastAsia="pl-PL"/>
              </w:rPr>
              <w:t xml:space="preserve"> systemu lub aplikacji z obrazów zainstalowanych w obrębie dedykowanej pamięci </w:t>
            </w:r>
            <w:proofErr w:type="spellStart"/>
            <w:r w:rsidRPr="007B5789">
              <w:rPr>
                <w:rFonts w:asciiTheme="minorHAnsi" w:eastAsia="Calibri" w:hAnsiTheme="minorHAnsi" w:cstheme="minorHAnsi"/>
                <w:color w:val="FF0000"/>
                <w:sz w:val="24"/>
                <w:szCs w:val="24"/>
                <w:lang w:eastAsia="pl-PL"/>
              </w:rPr>
              <w:t>flash</w:t>
            </w:r>
            <w:proofErr w:type="spellEnd"/>
            <w:r w:rsidRPr="007B5789">
              <w:rPr>
                <w:rFonts w:asciiTheme="minorHAnsi" w:eastAsia="Calibri" w:hAnsiTheme="minorHAnsi" w:cstheme="minorHAnsi"/>
                <w:color w:val="FF0000"/>
                <w:sz w:val="24"/>
                <w:szCs w:val="24"/>
                <w:lang w:eastAsia="pl-PL"/>
              </w:rPr>
              <w:t xml:space="preserve"> bez użytkowania zewnętrznych nośników lub kopiowania danych poprzez sieć LAN;</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Serwer posiada możliwość konfiguracji i wykonania aktualizacji BIOS, </w:t>
            </w:r>
            <w:proofErr w:type="spellStart"/>
            <w:r w:rsidRPr="007B5789">
              <w:rPr>
                <w:rFonts w:asciiTheme="minorHAnsi" w:eastAsia="Calibri" w:hAnsiTheme="minorHAnsi" w:cstheme="minorHAnsi"/>
                <w:color w:val="FF0000"/>
                <w:sz w:val="24"/>
                <w:szCs w:val="24"/>
                <w:lang w:eastAsia="pl-PL"/>
              </w:rPr>
              <w:t>Firmware</w:t>
            </w:r>
            <w:proofErr w:type="spellEnd"/>
            <w:r w:rsidRPr="007B5789">
              <w:rPr>
                <w:rFonts w:asciiTheme="minorHAnsi" w:eastAsia="Calibri" w:hAnsiTheme="minorHAnsi" w:cstheme="minorHAnsi"/>
                <w:color w:val="FF0000"/>
                <w:sz w:val="24"/>
                <w:szCs w:val="24"/>
                <w:lang w:eastAsia="pl-PL"/>
              </w:rPr>
              <w:t>, sterowników serwera bezpośrednio z GUI (graficzny interfejs) karty zarządzającej serwera bez pośrednictwa innych nośników zewnętrznych i wewnętrznych poza obrębem karty zarządzającej;</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BIOS UEFI w specyfikacji 2.7.</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11.</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WSPIERANE SYSTEMY OPERACYJNE</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Microsoft Windows Server 2019, 2016;</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w:t>
            </w:r>
            <w:proofErr w:type="spellStart"/>
            <w:r w:rsidRPr="007B5789">
              <w:rPr>
                <w:rFonts w:asciiTheme="minorHAnsi" w:eastAsia="Calibri" w:hAnsiTheme="minorHAnsi" w:cstheme="minorHAnsi"/>
                <w:color w:val="FF0000"/>
                <w:sz w:val="24"/>
                <w:szCs w:val="24"/>
                <w:lang w:eastAsia="pl-PL"/>
              </w:rPr>
              <w:t>VMWare</w:t>
            </w:r>
            <w:proofErr w:type="spellEnd"/>
            <w:r w:rsidRPr="007B5789">
              <w:rPr>
                <w:rFonts w:asciiTheme="minorHAnsi" w:eastAsia="Calibri" w:hAnsiTheme="minorHAnsi" w:cstheme="minorHAnsi"/>
                <w:color w:val="FF0000"/>
                <w:sz w:val="24"/>
                <w:szCs w:val="24"/>
                <w:lang w:eastAsia="pl-PL"/>
              </w:rPr>
              <w:t xml:space="preserve"> </w:t>
            </w:r>
            <w:proofErr w:type="spellStart"/>
            <w:r w:rsidRPr="007B5789">
              <w:rPr>
                <w:rFonts w:asciiTheme="minorHAnsi" w:eastAsia="Calibri" w:hAnsiTheme="minorHAnsi" w:cstheme="minorHAnsi"/>
                <w:color w:val="FF0000"/>
                <w:sz w:val="24"/>
                <w:szCs w:val="24"/>
                <w:lang w:eastAsia="pl-PL"/>
              </w:rPr>
              <w:t>vSphere</w:t>
            </w:r>
            <w:proofErr w:type="spellEnd"/>
            <w:r w:rsidRPr="007B5789">
              <w:rPr>
                <w:rFonts w:asciiTheme="minorHAnsi" w:eastAsia="Calibri" w:hAnsiTheme="minorHAnsi" w:cstheme="minorHAnsi"/>
                <w:color w:val="FF0000"/>
                <w:sz w:val="24"/>
                <w:szCs w:val="24"/>
                <w:lang w:eastAsia="pl-PL"/>
              </w:rPr>
              <w:t xml:space="preserve"> 6.7, 7.0;</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w:t>
            </w:r>
            <w:proofErr w:type="spellStart"/>
            <w:r w:rsidRPr="007B5789">
              <w:rPr>
                <w:rFonts w:asciiTheme="minorHAnsi" w:eastAsia="Calibri" w:hAnsiTheme="minorHAnsi" w:cstheme="minorHAnsi"/>
                <w:color w:val="FF0000"/>
                <w:sz w:val="24"/>
                <w:szCs w:val="24"/>
                <w:lang w:eastAsia="pl-PL"/>
              </w:rPr>
              <w:t>Suse</w:t>
            </w:r>
            <w:proofErr w:type="spellEnd"/>
            <w:r w:rsidRPr="007B5789">
              <w:rPr>
                <w:rFonts w:asciiTheme="minorHAnsi" w:eastAsia="Calibri" w:hAnsiTheme="minorHAnsi" w:cstheme="minorHAnsi"/>
                <w:color w:val="FF0000"/>
                <w:sz w:val="24"/>
                <w:szCs w:val="24"/>
                <w:lang w:eastAsia="pl-PL"/>
              </w:rPr>
              <w:t xml:space="preserve"> Linux Enterprise Server 15;</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Red </w:t>
            </w:r>
            <w:proofErr w:type="spellStart"/>
            <w:r w:rsidRPr="007B5789">
              <w:rPr>
                <w:rFonts w:asciiTheme="minorHAnsi" w:eastAsia="Calibri" w:hAnsiTheme="minorHAnsi" w:cstheme="minorHAnsi"/>
                <w:color w:val="FF0000"/>
                <w:sz w:val="24"/>
                <w:szCs w:val="24"/>
                <w:lang w:eastAsia="pl-PL"/>
              </w:rPr>
              <w:t>Hat</w:t>
            </w:r>
            <w:proofErr w:type="spellEnd"/>
            <w:r w:rsidRPr="007B5789">
              <w:rPr>
                <w:rFonts w:asciiTheme="minorHAnsi" w:eastAsia="Calibri" w:hAnsiTheme="minorHAnsi" w:cstheme="minorHAnsi"/>
                <w:color w:val="FF0000"/>
                <w:sz w:val="24"/>
                <w:szCs w:val="24"/>
                <w:lang w:eastAsia="pl-PL"/>
              </w:rPr>
              <w:t xml:space="preserve"> Enterprise Linux 7.9, 8.3;</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Hyper-V Server 2016, 2019;</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3 lata gwarancji producenta serwera w trybie on-</w:t>
            </w:r>
            <w:proofErr w:type="spellStart"/>
            <w:r w:rsidRPr="007B5789">
              <w:rPr>
                <w:rFonts w:asciiTheme="minorHAnsi" w:eastAsia="Calibri" w:hAnsiTheme="minorHAnsi" w:cstheme="minorHAnsi"/>
                <w:color w:val="FF0000"/>
                <w:sz w:val="24"/>
                <w:szCs w:val="24"/>
                <w:lang w:eastAsia="pl-PL"/>
              </w:rPr>
              <w:t>site</w:t>
            </w:r>
            <w:proofErr w:type="spellEnd"/>
            <w:r w:rsidRPr="007B5789">
              <w:rPr>
                <w:rFonts w:asciiTheme="minorHAnsi" w:eastAsia="Calibri" w:hAnsiTheme="minorHAnsi" w:cstheme="minorHAnsi"/>
                <w:color w:val="FF0000"/>
                <w:sz w:val="24"/>
                <w:szCs w:val="24"/>
                <w:lang w:eastAsia="pl-PL"/>
              </w:rPr>
              <w:t xml:space="preserve"> z gwarantowaną skuteczną naprawą do końca następnego dnia od zgłoszenia. Naprawa realizowana przez producenta serwera lub autoryzowany przez producenta serwis;</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Uszkodzone dyski pozostają u Zamawiającego</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Funkcja zgłaszania usterek i awarii sprzętowych poprzez automatyczne założenie zgłoszenia w systemie helpdesk/</w:t>
            </w:r>
            <w:proofErr w:type="spellStart"/>
            <w:r w:rsidRPr="007B5789">
              <w:rPr>
                <w:rFonts w:asciiTheme="minorHAnsi" w:eastAsia="Calibri" w:hAnsiTheme="minorHAnsi" w:cstheme="minorHAnsi"/>
                <w:color w:val="FF0000"/>
                <w:sz w:val="24"/>
                <w:szCs w:val="24"/>
                <w:lang w:eastAsia="pl-PL"/>
              </w:rPr>
              <w:t>servicedesk</w:t>
            </w:r>
            <w:proofErr w:type="spellEnd"/>
            <w:r w:rsidRPr="007B5789">
              <w:rPr>
                <w:rFonts w:asciiTheme="minorHAnsi" w:eastAsia="Calibri" w:hAnsiTheme="minorHAnsi" w:cstheme="minorHAnsi"/>
                <w:color w:val="FF0000"/>
                <w:sz w:val="24"/>
                <w:szCs w:val="24"/>
                <w:lang w:eastAsia="pl-PL"/>
              </w:rPr>
              <w:t xml:space="preserve"> producenta sprzętu;</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Firma serwisująca musi posiadać certyfikat ISO 9001:2000 (lub równoważny) na świadczenie usług serwisowych;</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(Równoważność: inne certyfikaty, których uzyskanie obwarowane jest odbyciem szkolenia wg usystematyzowanych i opisanych, podlegających weryfikacji funkcji i zasad, których analiza pozwala na przyjęcie, że nabyte umiejętności, z dużym prawdopodobieństwem doprowadzą do uzyskania skuteczności zarządzania/działania , na poziomie analogicznym do oczekiwanego przez zamawiającego w ramach oczekiwanego certyfikatu. Certyfikaty równoważne definiuje się jako wydawane przez organizacje będące właścicielami metody oraz podmioty przez nie akredytowane</w:t>
            </w:r>
            <w:r w:rsidR="001C7A77">
              <w:rPr>
                <w:rFonts w:asciiTheme="minorHAnsi" w:eastAsia="Calibri" w:hAnsiTheme="minorHAnsi" w:cstheme="minorHAnsi"/>
                <w:color w:val="FF0000"/>
                <w:sz w:val="24"/>
                <w:szCs w:val="24"/>
                <w:lang w:eastAsia="pl-PL"/>
              </w:rPr>
              <w:t xml:space="preserve"> </w:t>
            </w:r>
            <w:r w:rsidRPr="007B5789">
              <w:rPr>
                <w:rFonts w:asciiTheme="minorHAnsi" w:eastAsia="Calibri" w:hAnsiTheme="minorHAnsi" w:cstheme="minorHAnsi"/>
                <w:color w:val="FF0000"/>
                <w:sz w:val="24"/>
                <w:szCs w:val="24"/>
                <w:lang w:eastAsia="pl-PL"/>
              </w:rPr>
              <w:t>ewentualnie merytorycznie tożsame.)</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Bezpłatna dostępność poprawek i aktualizacji BIOS/</w:t>
            </w:r>
            <w:proofErr w:type="spellStart"/>
            <w:r w:rsidRPr="007B5789">
              <w:rPr>
                <w:rFonts w:asciiTheme="minorHAnsi" w:eastAsia="Calibri" w:hAnsiTheme="minorHAnsi" w:cstheme="minorHAnsi"/>
                <w:color w:val="FF0000"/>
                <w:sz w:val="24"/>
                <w:szCs w:val="24"/>
                <w:lang w:eastAsia="pl-PL"/>
              </w:rPr>
              <w:t>Firmware</w:t>
            </w:r>
            <w:proofErr w:type="spellEnd"/>
            <w:r w:rsidRPr="007B5789">
              <w:rPr>
                <w:rFonts w:asciiTheme="minorHAnsi" w:eastAsia="Calibri" w:hAnsiTheme="minorHAnsi" w:cstheme="minorHAnsi"/>
                <w:color w:val="FF0000"/>
                <w:sz w:val="24"/>
                <w:szCs w:val="24"/>
                <w:lang w:eastAsia="pl-PL"/>
              </w:rPr>
              <w:t>/sterowników dożywotnio dla oferowanego serwera – jeżeli funkcjonalność ta wymaga dodatkowego serwisu lub licencji producenta serwera, takowy element musi być uwzględniona w ofercie;</w:t>
            </w: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r w:rsidR="001E09F3" w:rsidRPr="00F74A9C" w:rsidTr="009F516D">
        <w:trPr>
          <w:trHeight w:val="5755"/>
          <w:tblCellSpacing w:w="15" w:type="dxa"/>
        </w:trPr>
        <w:tc>
          <w:tcPr>
            <w:tcW w:w="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12.</w:t>
            </w:r>
          </w:p>
        </w:tc>
        <w:tc>
          <w:tcPr>
            <w:tcW w:w="100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DOKUMENTACJA, INNE</w:t>
            </w:r>
          </w:p>
        </w:tc>
        <w:tc>
          <w:tcPr>
            <w:tcW w:w="2250" w:type="pct"/>
            <w:tcMar>
              <w:top w:w="15" w:type="dxa"/>
              <w:left w:w="15" w:type="dxa"/>
              <w:bottom w:w="15" w:type="dxa"/>
              <w:right w:w="15" w:type="dxa"/>
            </w:tcMar>
            <w:vAlign w:val="center"/>
            <w:hideMark/>
          </w:tcPr>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Elementy, z których zbudowane są serwery muszą być produktami producenta tych serwerów lub być przez niego certyfikowane oraz całe muszą być objęte gwarancją producenta, o wymaganym w specyfikacji poziomie SLA – wymaganie oświadczenie wykonawcy lub producenta;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Ogólnopolska, telefoniczna infolinia/linia techniczna producenta serwera, w ofercie należy podać link do strony producenta na której znajduje się nr telefonu oraz maila na który można zgłaszać </w:t>
            </w:r>
            <w:r w:rsidR="001C7A77">
              <w:rPr>
                <w:rFonts w:asciiTheme="minorHAnsi" w:eastAsia="Calibri" w:hAnsiTheme="minorHAnsi" w:cstheme="minorHAnsi"/>
                <w:color w:val="FF0000"/>
                <w:sz w:val="24"/>
                <w:szCs w:val="24"/>
                <w:lang w:eastAsia="pl-PL"/>
              </w:rPr>
              <w:t>u</w:t>
            </w:r>
            <w:r w:rsidRPr="007B5789">
              <w:rPr>
                <w:rFonts w:asciiTheme="minorHAnsi" w:eastAsia="Calibri" w:hAnsiTheme="minorHAnsi" w:cstheme="minorHAnsi"/>
                <w:color w:val="FF0000"/>
                <w:sz w:val="24"/>
                <w:szCs w:val="24"/>
                <w:lang w:eastAsia="pl-PL"/>
              </w:rPr>
              <w:t>sterki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aktualizacji i pobrania sterowników do oferowanego modelu serwera w najnowszych certyfikowanych wersjach bezpośrednio z sieci Internet za pośrednictwem strony www producenta serwera;</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Możliwość pracy w pomieszczeniach o wilgotności w zawierającej się w przedziale 10 - 85 %;</w:t>
            </w:r>
          </w:p>
          <w:p w:rsidR="001E09F3" w:rsidRPr="007B5789"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 xml:space="preserve">•             Zgodność z normami: CB, </w:t>
            </w:r>
            <w:proofErr w:type="spellStart"/>
            <w:r w:rsidRPr="007B5789">
              <w:rPr>
                <w:rFonts w:asciiTheme="minorHAnsi" w:eastAsia="Calibri" w:hAnsiTheme="minorHAnsi" w:cstheme="minorHAnsi"/>
                <w:color w:val="FF0000"/>
                <w:sz w:val="24"/>
                <w:szCs w:val="24"/>
                <w:lang w:eastAsia="pl-PL"/>
              </w:rPr>
              <w:t>RoHS</w:t>
            </w:r>
            <w:proofErr w:type="spellEnd"/>
            <w:r w:rsidRPr="007B5789">
              <w:rPr>
                <w:rFonts w:asciiTheme="minorHAnsi" w:eastAsia="Calibri" w:hAnsiTheme="minorHAnsi" w:cstheme="minorHAnsi"/>
                <w:color w:val="FF0000"/>
                <w:sz w:val="24"/>
                <w:szCs w:val="24"/>
                <w:lang w:eastAsia="pl-PL"/>
              </w:rPr>
              <w:t>, WEEE, GS oraz CE lub równoważnie do wymaganych.</w:t>
            </w:r>
          </w:p>
          <w:p w:rsidR="001E09F3" w:rsidRDefault="001E09F3" w:rsidP="009F516D">
            <w:pPr>
              <w:spacing w:before="100" w:beforeAutospacing="1" w:after="100" w:afterAutospacing="1"/>
              <w:rPr>
                <w:rFonts w:asciiTheme="minorHAnsi" w:eastAsia="Calibri" w:hAnsiTheme="minorHAnsi" w:cstheme="minorHAnsi"/>
                <w:color w:val="FF0000"/>
                <w:sz w:val="24"/>
                <w:szCs w:val="24"/>
                <w:lang w:eastAsia="pl-PL"/>
              </w:rPr>
            </w:pPr>
            <w:r w:rsidRPr="007B5789">
              <w:rPr>
                <w:rFonts w:asciiTheme="minorHAnsi" w:eastAsia="Calibri" w:hAnsiTheme="minorHAnsi" w:cstheme="minorHAnsi"/>
                <w:color w:val="FF0000"/>
                <w:sz w:val="24"/>
                <w:szCs w:val="24"/>
                <w:lang w:eastAsia="pl-PL"/>
              </w:rPr>
              <w:t>(Równoważność: inne certyfikaty, których uzyskanie obwarowane jest odbyciem szkolenia wg usystematyzowanych i opisanych, podlegających weryfikacji funkcji i zasad, których analiza pozwala na przyjęcie, że nabyte umiejętności, z dużym prawdopodobieństwem doprowadzą do uzyskania skuteczności zarządzania/działania , na poziomie analogicznym do oczekiwanego przez zamawiającego w ramach oczekiwanego certyfikatu. Certyfikaty równoważne definiuje się jako wydawane przez organizacje będące właścicielami metody oraz podmioty przez nie akredytowane ewentualnie merytorycznie tożsame.)</w:t>
            </w:r>
          </w:p>
          <w:p w:rsidR="001C7A77" w:rsidRPr="007B5789" w:rsidRDefault="001C7A77" w:rsidP="009F516D">
            <w:pPr>
              <w:spacing w:before="100" w:beforeAutospacing="1" w:after="100" w:afterAutospacing="1"/>
              <w:rPr>
                <w:rFonts w:asciiTheme="minorHAnsi" w:eastAsia="Calibri" w:hAnsiTheme="minorHAnsi" w:cstheme="minorHAnsi"/>
                <w:color w:val="FF0000"/>
                <w:sz w:val="24"/>
                <w:szCs w:val="24"/>
                <w:lang w:eastAsia="pl-PL"/>
              </w:rPr>
            </w:pPr>
          </w:p>
        </w:tc>
        <w:tc>
          <w:tcPr>
            <w:tcW w:w="1400" w:type="pct"/>
            <w:tcMar>
              <w:top w:w="15" w:type="dxa"/>
              <w:left w:w="15" w:type="dxa"/>
              <w:bottom w:w="15" w:type="dxa"/>
              <w:right w:w="15" w:type="dxa"/>
            </w:tcMar>
            <w:vAlign w:val="center"/>
            <w:hideMark/>
          </w:tcPr>
          <w:p w:rsidR="001E09F3" w:rsidRPr="007B5789" w:rsidRDefault="001E09F3" w:rsidP="009F516D">
            <w:pPr>
              <w:rPr>
                <w:rFonts w:asciiTheme="minorHAnsi" w:eastAsia="Calibri" w:hAnsiTheme="minorHAnsi" w:cstheme="minorHAnsi"/>
                <w:color w:val="FF0000"/>
                <w:sz w:val="24"/>
                <w:szCs w:val="24"/>
                <w:lang w:eastAsia="pl-PL"/>
              </w:rPr>
            </w:pPr>
          </w:p>
        </w:tc>
      </w:tr>
    </w:tbl>
    <w:p w:rsidR="001E09F3" w:rsidRPr="00F74A9C" w:rsidRDefault="001E09F3" w:rsidP="00F74A9C">
      <w:pPr>
        <w:pStyle w:val="Akapitzlist"/>
        <w:numPr>
          <w:ilvl w:val="0"/>
          <w:numId w:val="9"/>
        </w:numPr>
        <w:autoSpaceDE w:val="0"/>
        <w:autoSpaceDN w:val="0"/>
        <w:adjustRightInd w:val="0"/>
        <w:rPr>
          <w:rFonts w:asciiTheme="minorHAnsi" w:hAnsiTheme="minorHAnsi" w:cstheme="minorHAnsi"/>
          <w:color w:val="000000"/>
          <w:sz w:val="24"/>
          <w:szCs w:val="24"/>
        </w:rPr>
      </w:pPr>
      <w:proofErr w:type="spellStart"/>
      <w:r w:rsidRPr="00F74A9C">
        <w:rPr>
          <w:rFonts w:asciiTheme="minorHAnsi" w:hAnsiTheme="minorHAnsi" w:cstheme="minorHAnsi"/>
          <w:color w:val="000000"/>
          <w:sz w:val="24"/>
          <w:szCs w:val="24"/>
        </w:rPr>
        <w:t>Zamawiający</w:t>
      </w:r>
      <w:proofErr w:type="spellEnd"/>
      <w:r w:rsidRPr="00F74A9C">
        <w:rPr>
          <w:rFonts w:asciiTheme="minorHAnsi" w:hAnsiTheme="minorHAnsi" w:cstheme="minorHAnsi"/>
          <w:color w:val="000000"/>
          <w:sz w:val="24"/>
          <w:szCs w:val="24"/>
        </w:rPr>
        <w:t xml:space="preserve"> w </w:t>
      </w:r>
      <w:proofErr w:type="spellStart"/>
      <w:r w:rsidRPr="00F74A9C">
        <w:rPr>
          <w:rFonts w:asciiTheme="minorHAnsi" w:hAnsiTheme="minorHAnsi" w:cstheme="minorHAnsi"/>
          <w:color w:val="000000"/>
          <w:sz w:val="24"/>
          <w:szCs w:val="24"/>
        </w:rPr>
        <w:t>Załączniku</w:t>
      </w:r>
      <w:proofErr w:type="spellEnd"/>
      <w:r w:rsidRPr="00F74A9C">
        <w:rPr>
          <w:rFonts w:asciiTheme="minorHAnsi" w:hAnsiTheme="minorHAnsi" w:cstheme="minorHAnsi"/>
          <w:color w:val="000000"/>
          <w:sz w:val="24"/>
          <w:szCs w:val="24"/>
        </w:rPr>
        <w:t xml:space="preserve"> nr 2B wymaga rozbudowy licencji dla posiadanego systemu wirtualizacji. Prosimy o informację czy Zamawiający posiada uprawnienia do użytkowania licencji w wersji akademickiej czy też w wersji komercyjnej? </w:t>
      </w:r>
    </w:p>
    <w:p w:rsidR="001E09F3" w:rsidRPr="00F74A9C" w:rsidRDefault="001E09F3" w:rsidP="001E09F3">
      <w:pPr>
        <w:pStyle w:val="NormalnyWeb"/>
        <w:rPr>
          <w:rFonts w:asciiTheme="minorHAnsi" w:hAnsiTheme="minorHAnsi" w:cstheme="minorHAnsi"/>
          <w:color w:val="FF0000"/>
        </w:rPr>
      </w:pPr>
      <w:r w:rsidRPr="00F74A9C">
        <w:rPr>
          <w:rStyle w:val="Pogrubienie"/>
          <w:rFonts w:asciiTheme="minorHAnsi" w:hAnsiTheme="minorHAnsi" w:cstheme="minorHAnsi"/>
          <w:color w:val="FF0000"/>
        </w:rPr>
        <w:t xml:space="preserve">Odp.: </w:t>
      </w:r>
      <w:r w:rsidRPr="00F74A9C">
        <w:rPr>
          <w:rFonts w:asciiTheme="minorHAnsi" w:hAnsiTheme="minorHAnsi" w:cstheme="minorHAnsi"/>
          <w:color w:val="FF0000"/>
        </w:rPr>
        <w:t xml:space="preserve">W specyfikacji opisu "Rozbudowa licencji dla posiadanego przez zamawiającego systemu wirtualizacji (VMWARE) - 1 szt." zawarta jest informacja o zakupie Vmware </w:t>
      </w:r>
      <w:proofErr w:type="spellStart"/>
      <w:r w:rsidRPr="00F74A9C">
        <w:rPr>
          <w:rFonts w:asciiTheme="minorHAnsi" w:hAnsiTheme="minorHAnsi" w:cstheme="minorHAnsi"/>
          <w:color w:val="FF0000"/>
        </w:rPr>
        <w:t>vSphere</w:t>
      </w:r>
      <w:proofErr w:type="spellEnd"/>
      <w:r w:rsidRPr="00F74A9C">
        <w:rPr>
          <w:rFonts w:asciiTheme="minorHAnsi" w:hAnsiTheme="minorHAnsi" w:cstheme="minorHAnsi"/>
          <w:color w:val="FF0000"/>
        </w:rPr>
        <w:t xml:space="preserve"> 7 Standard, czyli wersji komercyjnej.</w:t>
      </w:r>
    </w:p>
    <w:p w:rsidR="001E09F3" w:rsidRDefault="001E09F3" w:rsidP="001E09F3">
      <w:pPr>
        <w:pStyle w:val="NormalnyWeb"/>
        <w:rPr>
          <w:rFonts w:asciiTheme="minorHAnsi" w:hAnsiTheme="minorHAnsi" w:cstheme="minorHAnsi"/>
          <w:color w:val="FF0000"/>
        </w:rPr>
      </w:pPr>
    </w:p>
    <w:p w:rsidR="001C7A77" w:rsidRDefault="001C7A77" w:rsidP="001E09F3">
      <w:pPr>
        <w:pStyle w:val="NormalnyWeb"/>
        <w:rPr>
          <w:rFonts w:asciiTheme="minorHAnsi" w:hAnsiTheme="minorHAnsi" w:cstheme="minorHAnsi"/>
          <w:color w:val="FF0000"/>
        </w:rPr>
      </w:pPr>
    </w:p>
    <w:p w:rsidR="001C7A77" w:rsidRDefault="001C7A77" w:rsidP="001E09F3">
      <w:pPr>
        <w:pStyle w:val="NormalnyWeb"/>
        <w:rPr>
          <w:rFonts w:asciiTheme="minorHAnsi" w:hAnsiTheme="minorHAnsi" w:cstheme="minorHAnsi"/>
          <w:color w:val="FF0000"/>
        </w:rPr>
      </w:pPr>
    </w:p>
    <w:p w:rsidR="001C7A77" w:rsidRPr="00F74A9C" w:rsidRDefault="001C7A77" w:rsidP="001E09F3">
      <w:pPr>
        <w:pStyle w:val="NormalnyWeb"/>
        <w:rPr>
          <w:rFonts w:asciiTheme="minorHAnsi" w:hAnsiTheme="minorHAnsi" w:cstheme="minorHAnsi"/>
          <w:color w:val="FF0000"/>
        </w:rPr>
      </w:pPr>
    </w:p>
    <w:p w:rsidR="0031116B" w:rsidRPr="00F74A9C" w:rsidRDefault="0031116B" w:rsidP="0031116B">
      <w:pPr>
        <w:jc w:val="both"/>
        <w:rPr>
          <w:rFonts w:asciiTheme="minorHAnsi" w:hAnsiTheme="minorHAnsi" w:cstheme="minorHAnsi"/>
          <w:iCs/>
          <w:sz w:val="24"/>
          <w:szCs w:val="24"/>
        </w:rPr>
      </w:pPr>
      <w:r w:rsidRPr="00F74A9C">
        <w:rPr>
          <w:rFonts w:asciiTheme="minorHAnsi" w:hAnsiTheme="minorHAnsi" w:cstheme="minorHAnsi"/>
          <w:iCs/>
          <w:sz w:val="24"/>
          <w:szCs w:val="24"/>
        </w:rPr>
        <w:t xml:space="preserve">Wykonawca oferujący rozwiązanie dopuszczone powyższymi odpowiedziami winien pod tabelą Załącznik nr 2B wpisać: </w:t>
      </w:r>
      <w:r w:rsidRPr="00F74A9C">
        <w:rPr>
          <w:rFonts w:asciiTheme="minorHAnsi" w:hAnsiTheme="minorHAnsi" w:cstheme="minorHAnsi"/>
          <w:b/>
          <w:i/>
          <w:iCs/>
          <w:sz w:val="24"/>
          <w:szCs w:val="24"/>
        </w:rPr>
        <w:t>„poz. nr ……. zapis dopuszczony zgodnie z odpowiedzią Zamawiającego”</w:t>
      </w:r>
      <w:r w:rsidRPr="00F74A9C">
        <w:rPr>
          <w:rFonts w:asciiTheme="minorHAnsi" w:hAnsiTheme="minorHAnsi" w:cstheme="minorHAnsi"/>
          <w:iCs/>
          <w:sz w:val="24"/>
          <w:szCs w:val="24"/>
        </w:rPr>
        <w:t xml:space="preserve">  </w:t>
      </w:r>
    </w:p>
    <w:p w:rsidR="0031116B" w:rsidRPr="00F74A9C" w:rsidRDefault="0031116B" w:rsidP="0031116B">
      <w:pPr>
        <w:jc w:val="both"/>
        <w:rPr>
          <w:rFonts w:asciiTheme="minorHAnsi" w:hAnsiTheme="minorHAnsi" w:cstheme="minorHAnsi"/>
          <w:iCs/>
          <w:sz w:val="24"/>
          <w:szCs w:val="24"/>
          <w:highlight w:val="yellow"/>
        </w:rPr>
      </w:pPr>
    </w:p>
    <w:p w:rsidR="0031116B" w:rsidRPr="00F74A9C" w:rsidRDefault="0031116B" w:rsidP="0031116B">
      <w:pPr>
        <w:jc w:val="both"/>
        <w:rPr>
          <w:rFonts w:asciiTheme="minorHAnsi" w:hAnsiTheme="minorHAnsi" w:cstheme="minorHAnsi"/>
          <w:iCs/>
          <w:sz w:val="24"/>
          <w:szCs w:val="24"/>
        </w:rPr>
      </w:pPr>
      <w:r w:rsidRPr="00F74A9C">
        <w:rPr>
          <w:rFonts w:asciiTheme="minorHAnsi" w:hAnsiTheme="minorHAnsi" w:cstheme="minorHAnsi"/>
          <w:iCs/>
          <w:sz w:val="24"/>
          <w:szCs w:val="24"/>
        </w:rPr>
        <w:t>Powyższe odpowiedzi i zmiany są wiążące dla wszystkich Wykonawców.</w:t>
      </w:r>
    </w:p>
    <w:p w:rsidR="001E09F3" w:rsidRDefault="001E09F3">
      <w:pPr>
        <w:rPr>
          <w:rFonts w:asciiTheme="minorHAnsi" w:hAnsiTheme="minorHAnsi" w:cstheme="minorHAnsi"/>
          <w:sz w:val="24"/>
          <w:szCs w:val="24"/>
        </w:rPr>
      </w:pPr>
    </w:p>
    <w:p w:rsidR="00A608BD" w:rsidRPr="00F74A9C" w:rsidRDefault="00A608BD" w:rsidP="00A608BD">
      <w:pPr>
        <w:jc w:val="both"/>
        <w:rPr>
          <w:rFonts w:asciiTheme="minorHAnsi" w:eastAsia="Times New Roman" w:hAnsiTheme="minorHAnsi" w:cstheme="minorHAnsi"/>
          <w:sz w:val="24"/>
          <w:szCs w:val="24"/>
          <w:u w:val="single"/>
          <w:lang w:eastAsia="ar-SA"/>
        </w:rPr>
      </w:pPr>
      <w:r w:rsidRPr="00F74A9C">
        <w:rPr>
          <w:rFonts w:asciiTheme="minorHAnsi" w:eastAsia="Times New Roman" w:hAnsiTheme="minorHAnsi" w:cstheme="minorHAnsi"/>
          <w:sz w:val="24"/>
          <w:szCs w:val="24"/>
          <w:u w:val="single"/>
          <w:lang w:eastAsia="ar-SA"/>
        </w:rPr>
        <w:t>Zamawiający załącza zmodyfikowane:</w:t>
      </w:r>
    </w:p>
    <w:p w:rsidR="00A608BD" w:rsidRPr="00F74A9C" w:rsidRDefault="00A608BD" w:rsidP="00A608BD">
      <w:pPr>
        <w:autoSpaceDE w:val="0"/>
        <w:autoSpaceDN w:val="0"/>
        <w:adjustRightInd w:val="0"/>
        <w:jc w:val="both"/>
        <w:rPr>
          <w:rFonts w:asciiTheme="minorHAnsi" w:hAnsiTheme="minorHAnsi" w:cstheme="minorHAnsi"/>
          <w:bCs/>
          <w:strike/>
          <w:sz w:val="24"/>
          <w:szCs w:val="24"/>
        </w:rPr>
      </w:pPr>
    </w:p>
    <w:p w:rsidR="00A608BD" w:rsidRPr="00A608BD" w:rsidRDefault="00A608BD" w:rsidP="00A608BD">
      <w:pPr>
        <w:autoSpaceDE w:val="0"/>
        <w:autoSpaceDN w:val="0"/>
        <w:adjustRightInd w:val="0"/>
        <w:jc w:val="both"/>
        <w:rPr>
          <w:rFonts w:asciiTheme="minorHAnsi" w:hAnsiTheme="minorHAnsi" w:cstheme="minorHAnsi"/>
          <w:i/>
          <w:color w:val="0070C0"/>
          <w:sz w:val="24"/>
          <w:szCs w:val="24"/>
        </w:rPr>
      </w:pPr>
      <w:r w:rsidRPr="00A608BD">
        <w:rPr>
          <w:rFonts w:asciiTheme="minorHAnsi" w:hAnsiTheme="minorHAnsi" w:cstheme="minorHAnsi"/>
          <w:bCs/>
          <w:i/>
          <w:color w:val="0070C0"/>
          <w:sz w:val="24"/>
          <w:szCs w:val="24"/>
        </w:rPr>
        <w:t xml:space="preserve">Aktualizacja System rejestracji narzędzi – dot. zał. nr 2B – pakiet nr 1 Sterylizacja </w:t>
      </w:r>
      <w:r w:rsidRPr="00A608BD">
        <w:rPr>
          <w:rFonts w:asciiTheme="minorHAnsi" w:hAnsiTheme="minorHAnsi" w:cstheme="minorHAnsi"/>
          <w:bCs/>
          <w:i/>
          <w:color w:val="0070C0"/>
          <w:sz w:val="24"/>
          <w:szCs w:val="24"/>
        </w:rPr>
        <w:br/>
        <w:t>– modyfikacja 08.12.2023</w:t>
      </w:r>
    </w:p>
    <w:p w:rsidR="00A608BD" w:rsidRPr="00F74A9C" w:rsidRDefault="00A608BD">
      <w:pPr>
        <w:rPr>
          <w:rFonts w:asciiTheme="minorHAnsi" w:hAnsiTheme="minorHAnsi" w:cstheme="minorHAnsi"/>
          <w:sz w:val="24"/>
          <w:szCs w:val="24"/>
        </w:rPr>
      </w:pPr>
    </w:p>
    <w:p w:rsidR="0031116B" w:rsidRPr="00F74A9C" w:rsidRDefault="0031116B" w:rsidP="0031116B">
      <w:pPr>
        <w:jc w:val="both"/>
        <w:rPr>
          <w:rFonts w:asciiTheme="minorHAnsi" w:hAnsiTheme="minorHAnsi" w:cstheme="minorHAnsi"/>
          <w:sz w:val="24"/>
          <w:szCs w:val="24"/>
        </w:rPr>
      </w:pPr>
      <w:r w:rsidRPr="00F74A9C">
        <w:rPr>
          <w:rFonts w:asciiTheme="minorHAnsi" w:hAnsiTheme="minorHAnsi" w:cstheme="minorHAnsi"/>
          <w:sz w:val="24"/>
          <w:szCs w:val="24"/>
        </w:rPr>
        <w:t>Pozostałe zapisy bez zmian.</w:t>
      </w:r>
    </w:p>
    <w:p w:rsidR="0031116B" w:rsidRPr="00F74A9C" w:rsidRDefault="0031116B" w:rsidP="0031116B">
      <w:pPr>
        <w:jc w:val="both"/>
        <w:rPr>
          <w:rFonts w:asciiTheme="minorHAnsi" w:hAnsiTheme="minorHAnsi" w:cstheme="minorHAnsi"/>
          <w:sz w:val="24"/>
          <w:szCs w:val="24"/>
        </w:rPr>
      </w:pPr>
      <w:r w:rsidRPr="00F74A9C">
        <w:rPr>
          <w:rFonts w:asciiTheme="minorHAnsi" w:hAnsiTheme="minorHAnsi" w:cstheme="minorHAnsi"/>
          <w:sz w:val="24"/>
          <w:szCs w:val="24"/>
        </w:rPr>
        <w:t>Dziękujemy za złożone zapytania.</w:t>
      </w:r>
    </w:p>
    <w:p w:rsidR="0031116B" w:rsidRPr="00635037" w:rsidRDefault="0031116B" w:rsidP="0031116B">
      <w:pPr>
        <w:jc w:val="both"/>
        <w:rPr>
          <w:rFonts w:asciiTheme="minorHAnsi" w:hAnsiTheme="minorHAnsi" w:cstheme="minorHAnsi"/>
        </w:rPr>
      </w:pPr>
    </w:p>
    <w:p w:rsidR="0031116B" w:rsidRPr="00635037" w:rsidRDefault="0031116B" w:rsidP="0031116B">
      <w:pPr>
        <w:jc w:val="both"/>
        <w:rPr>
          <w:rFonts w:asciiTheme="minorHAnsi" w:hAnsiTheme="minorHAnsi" w:cstheme="minorHAnsi"/>
        </w:rPr>
      </w:pPr>
    </w:p>
    <w:p w:rsidR="0031116B" w:rsidRPr="00635037" w:rsidRDefault="0031116B" w:rsidP="0031116B">
      <w:pPr>
        <w:jc w:val="both"/>
        <w:rPr>
          <w:rFonts w:asciiTheme="minorHAnsi" w:hAnsiTheme="minorHAnsi" w:cstheme="minorHAnsi"/>
        </w:rPr>
      </w:pPr>
    </w:p>
    <w:p w:rsidR="0031116B" w:rsidRPr="00635037" w:rsidRDefault="0031116B" w:rsidP="0031116B">
      <w:pPr>
        <w:tabs>
          <w:tab w:val="left" w:pos="1005"/>
        </w:tabs>
        <w:jc w:val="right"/>
        <w:outlineLvl w:val="0"/>
        <w:rPr>
          <w:rFonts w:asciiTheme="minorHAnsi" w:hAnsiTheme="minorHAnsi" w:cstheme="minorHAnsi"/>
        </w:rPr>
      </w:pPr>
      <w:r w:rsidRPr="00635037">
        <w:rPr>
          <w:rFonts w:asciiTheme="minorHAnsi" w:hAnsiTheme="minorHAnsi" w:cstheme="minorHAnsi"/>
        </w:rPr>
        <w:t xml:space="preserve">Przewodniczący Komisji Przetargowej </w:t>
      </w:r>
    </w:p>
    <w:p w:rsidR="0031116B" w:rsidRPr="00635037" w:rsidRDefault="0031116B" w:rsidP="0031116B">
      <w:pPr>
        <w:tabs>
          <w:tab w:val="left" w:pos="1005"/>
        </w:tabs>
        <w:jc w:val="right"/>
        <w:outlineLvl w:val="0"/>
        <w:rPr>
          <w:rFonts w:asciiTheme="minorHAnsi" w:hAnsiTheme="minorHAnsi" w:cstheme="minorHAnsi"/>
        </w:rPr>
      </w:pPr>
    </w:p>
    <w:p w:rsidR="0031116B" w:rsidRPr="00635037" w:rsidRDefault="0031116B" w:rsidP="0031116B">
      <w:pPr>
        <w:ind w:left="708" w:firstLine="708"/>
        <w:jc w:val="center"/>
        <w:rPr>
          <w:rFonts w:asciiTheme="minorHAnsi" w:hAnsiTheme="minorHAnsi" w:cstheme="minorHAnsi"/>
        </w:rPr>
      </w:pPr>
      <w:r w:rsidRPr="00635037">
        <w:rPr>
          <w:rFonts w:asciiTheme="minorHAnsi" w:hAnsiTheme="minorHAnsi" w:cstheme="minorHAnsi"/>
        </w:rPr>
        <w:t xml:space="preserve">                                          Tomasz Miazek</w:t>
      </w:r>
    </w:p>
    <w:p w:rsidR="0031116B" w:rsidRPr="00635037" w:rsidRDefault="0031116B" w:rsidP="0031116B">
      <w:pPr>
        <w:rPr>
          <w:rFonts w:asciiTheme="minorHAnsi" w:hAnsiTheme="minorHAnsi" w:cstheme="minorHAnsi"/>
        </w:rPr>
      </w:pPr>
    </w:p>
    <w:p w:rsidR="0031116B" w:rsidRDefault="0031116B"/>
    <w:sectPr w:rsidR="003111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6B" w:rsidRDefault="0031116B" w:rsidP="0031116B">
      <w:r>
        <w:separator/>
      </w:r>
    </w:p>
  </w:endnote>
  <w:endnote w:type="continuationSeparator" w:id="0">
    <w:p w:rsidR="0031116B" w:rsidRDefault="0031116B" w:rsidP="0031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6B" w:rsidRDefault="0031116B" w:rsidP="0031116B">
      <w:r>
        <w:separator/>
      </w:r>
    </w:p>
  </w:footnote>
  <w:footnote w:type="continuationSeparator" w:id="0">
    <w:p w:rsidR="0031116B" w:rsidRDefault="0031116B" w:rsidP="0031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6B" w:rsidRDefault="0031116B">
    <w:pPr>
      <w:pStyle w:val="Nagwek"/>
    </w:pPr>
    <w:r w:rsidRPr="009D1A14">
      <w:rPr>
        <w:noProof/>
        <w:lang w:eastAsia="pl-PL"/>
      </w:rPr>
      <w:drawing>
        <wp:inline distT="0" distB="0" distL="0" distR="0" wp14:anchorId="23929562" wp14:editId="49798E6B">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37CED"/>
    <w:multiLevelType w:val="hybridMultilevel"/>
    <w:tmpl w:val="97EB45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F079E9"/>
    <w:multiLevelType w:val="hybridMultilevel"/>
    <w:tmpl w:val="158F1F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F032F9"/>
    <w:multiLevelType w:val="hybridMultilevel"/>
    <w:tmpl w:val="63A4EE06"/>
    <w:lvl w:ilvl="0" w:tplc="0415000F">
      <w:start w:val="1"/>
      <w:numFmt w:val="decimal"/>
      <w:lvlText w:val="%1."/>
      <w:lvlJc w:val="left"/>
      <w:pPr>
        <w:ind w:left="720"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722073"/>
    <w:multiLevelType w:val="hybridMultilevel"/>
    <w:tmpl w:val="E07EB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9C4C8C"/>
    <w:multiLevelType w:val="hybridMultilevel"/>
    <w:tmpl w:val="9386F324"/>
    <w:lvl w:ilvl="0" w:tplc="5292438A">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AA978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1260E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34CE67A">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550295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C24C1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EAA86C">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96C0E0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AAEC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0873B6F"/>
    <w:multiLevelType w:val="hybridMultilevel"/>
    <w:tmpl w:val="8AEA96BC"/>
    <w:lvl w:ilvl="0" w:tplc="0415000F">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110570"/>
    <w:multiLevelType w:val="hybridMultilevel"/>
    <w:tmpl w:val="9386F324"/>
    <w:lvl w:ilvl="0" w:tplc="5292438A">
      <w:start w:val="1"/>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AA978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1260E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34CE67A">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550295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C24C1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EAA86C">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96C0E0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AAEC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71829202"/>
    <w:multiLevelType w:val="hybridMultilevel"/>
    <w:tmpl w:val="AB2D41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7"/>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F3"/>
    <w:rsid w:val="001C7A77"/>
    <w:rsid w:val="001E09F3"/>
    <w:rsid w:val="002A4679"/>
    <w:rsid w:val="0031116B"/>
    <w:rsid w:val="00447DE2"/>
    <w:rsid w:val="00A608BD"/>
    <w:rsid w:val="00F74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FFCD"/>
  <w15:chartTrackingRefBased/>
  <w15:docId w15:val="{0892B0B1-F569-41A4-AD2F-F10B329C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9F3"/>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1E09F3"/>
    <w:rPr>
      <w:rFonts w:ascii="Arial" w:hAnsi="Arial" w:cs="Arial"/>
      <w:color w:val="44546A" w:themeColor="text2"/>
      <w:sz w:val="20"/>
      <w:lang w:val="en-US"/>
    </w:rPr>
  </w:style>
  <w:style w:type="paragraph" w:styleId="Akapitzlist">
    <w:name w:val="List Paragraph"/>
    <w:basedOn w:val="Normalny"/>
    <w:link w:val="AkapitzlistZnak"/>
    <w:uiPriority w:val="34"/>
    <w:qFormat/>
    <w:rsid w:val="001E09F3"/>
    <w:pPr>
      <w:spacing w:after="160" w:line="280" w:lineRule="exact"/>
      <w:ind w:left="720"/>
      <w:contextualSpacing/>
    </w:pPr>
    <w:rPr>
      <w:rFonts w:ascii="Arial" w:hAnsi="Arial" w:cs="Arial"/>
      <w:color w:val="44546A" w:themeColor="text2"/>
      <w:sz w:val="20"/>
      <w:lang w:val="en-US"/>
    </w:rPr>
  </w:style>
  <w:style w:type="character" w:styleId="Hipercze">
    <w:name w:val="Hyperlink"/>
    <w:basedOn w:val="Domylnaczcionkaakapitu"/>
    <w:uiPriority w:val="99"/>
    <w:unhideWhenUsed/>
    <w:rsid w:val="001E09F3"/>
    <w:rPr>
      <w:color w:val="0563C1"/>
      <w:u w:val="single"/>
    </w:rPr>
  </w:style>
  <w:style w:type="paragraph" w:customStyle="1" w:styleId="Wcity-10">
    <w:name w:val="Wcięty-10"/>
    <w:basedOn w:val="Normalny"/>
    <w:rsid w:val="001E09F3"/>
    <w:pPr>
      <w:spacing w:after="180"/>
      <w:ind w:left="284" w:firstLine="567"/>
      <w:jc w:val="both"/>
    </w:pPr>
    <w:rPr>
      <w:rFonts w:ascii="Arial" w:eastAsia="Times New Roman" w:hAnsi="Arial" w:cs="Times New Roman"/>
      <w:sz w:val="24"/>
      <w:szCs w:val="20"/>
    </w:rPr>
  </w:style>
  <w:style w:type="paragraph" w:styleId="NormalnyWeb">
    <w:name w:val="Normal (Web)"/>
    <w:basedOn w:val="Normalny"/>
    <w:uiPriority w:val="99"/>
    <w:semiHidden/>
    <w:unhideWhenUsed/>
    <w:rsid w:val="001E09F3"/>
    <w:pPr>
      <w:spacing w:before="100" w:beforeAutospacing="1" w:after="100" w:afterAutospacing="1"/>
    </w:pPr>
    <w:rPr>
      <w:rFonts w:ascii="Times New Roman" w:hAnsi="Times New Roman" w:cs="Times New Roman"/>
      <w:sz w:val="24"/>
      <w:szCs w:val="24"/>
      <w:lang w:eastAsia="pl-PL"/>
    </w:rPr>
  </w:style>
  <w:style w:type="character" w:styleId="Pogrubienie">
    <w:name w:val="Strong"/>
    <w:basedOn w:val="Domylnaczcionkaakapitu"/>
    <w:uiPriority w:val="22"/>
    <w:qFormat/>
    <w:rsid w:val="001E09F3"/>
    <w:rPr>
      <w:b/>
      <w:bCs/>
    </w:rPr>
  </w:style>
  <w:style w:type="paragraph" w:styleId="Nagwek">
    <w:name w:val="header"/>
    <w:basedOn w:val="Normalny"/>
    <w:link w:val="NagwekZnak"/>
    <w:uiPriority w:val="99"/>
    <w:unhideWhenUsed/>
    <w:rsid w:val="0031116B"/>
    <w:pPr>
      <w:tabs>
        <w:tab w:val="center" w:pos="4536"/>
        <w:tab w:val="right" w:pos="9072"/>
      </w:tabs>
    </w:pPr>
  </w:style>
  <w:style w:type="character" w:customStyle="1" w:styleId="NagwekZnak">
    <w:name w:val="Nagłówek Znak"/>
    <w:basedOn w:val="Domylnaczcionkaakapitu"/>
    <w:link w:val="Nagwek"/>
    <w:uiPriority w:val="99"/>
    <w:rsid w:val="0031116B"/>
    <w:rPr>
      <w:rFonts w:ascii="Calibri" w:hAnsi="Calibri" w:cs="Calibri"/>
    </w:rPr>
  </w:style>
  <w:style w:type="paragraph" w:styleId="Stopka">
    <w:name w:val="footer"/>
    <w:basedOn w:val="Normalny"/>
    <w:link w:val="StopkaZnak"/>
    <w:uiPriority w:val="99"/>
    <w:unhideWhenUsed/>
    <w:rsid w:val="0031116B"/>
    <w:pPr>
      <w:tabs>
        <w:tab w:val="center" w:pos="4536"/>
        <w:tab w:val="right" w:pos="9072"/>
      </w:tabs>
    </w:pPr>
  </w:style>
  <w:style w:type="character" w:customStyle="1" w:styleId="StopkaZnak">
    <w:name w:val="Stopka Znak"/>
    <w:basedOn w:val="Domylnaczcionkaakapitu"/>
    <w:link w:val="Stopka"/>
    <w:uiPriority w:val="99"/>
    <w:rsid w:val="0031116B"/>
    <w:rPr>
      <w:rFonts w:ascii="Calibri" w:hAnsi="Calibri" w:cs="Calibri"/>
    </w:rPr>
  </w:style>
  <w:style w:type="paragraph" w:styleId="Tekstdymka">
    <w:name w:val="Balloon Text"/>
    <w:basedOn w:val="Normalny"/>
    <w:link w:val="TekstdymkaZnak"/>
    <w:uiPriority w:val="99"/>
    <w:semiHidden/>
    <w:unhideWhenUsed/>
    <w:rsid w:val="00447DE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pu2017/results/cpu2017.html" TargetMode="External"/><Relationship Id="rId3" Type="http://schemas.openxmlformats.org/officeDocument/2006/relationships/settings" Target="settings.xml"/><Relationship Id="rId7" Type="http://schemas.openxmlformats.org/officeDocument/2006/relationships/hyperlink" Target="https://www.uzp.gov.pl/baza-wiedzy/prawo-zamowien-publicznych-regulacje/prawo-krajowe/jednolity-europejski-dokument-zamowi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4233</Words>
  <Characters>25401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Miazek</dc:creator>
  <cp:keywords/>
  <dc:description/>
  <cp:lastModifiedBy>Tomasz Miazek</cp:lastModifiedBy>
  <cp:revision>5</cp:revision>
  <cp:lastPrinted>2023-12-08T14:30:00Z</cp:lastPrinted>
  <dcterms:created xsi:type="dcterms:W3CDTF">2023-12-08T13:08:00Z</dcterms:created>
  <dcterms:modified xsi:type="dcterms:W3CDTF">2023-12-08T14:30:00Z</dcterms:modified>
</cp:coreProperties>
</file>