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CD2D" w14:textId="77777777" w:rsidR="00E71260" w:rsidRPr="00E71260" w:rsidRDefault="00E71260" w:rsidP="00E71260">
      <w:p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AG/ZP – 10/2021                                                                                      Załącznik nr 3b do SWZ</w:t>
      </w:r>
    </w:p>
    <w:p w14:paraId="73FB6F7D" w14:textId="3E1CEFFB" w:rsidR="00E71260" w:rsidRPr="00E71260" w:rsidRDefault="00E71260" w:rsidP="00E71260">
      <w:pPr>
        <w:jc w:val="center"/>
        <w:rPr>
          <w:rFonts w:ascii="Tahoma" w:hAnsi="Tahoma" w:cs="Tahoma"/>
          <w:b/>
          <w:bCs/>
        </w:rPr>
      </w:pPr>
      <w:r w:rsidRPr="00E71260">
        <w:rPr>
          <w:rFonts w:ascii="Tahoma" w:hAnsi="Tahoma" w:cs="Tahoma"/>
          <w:b/>
          <w:bCs/>
        </w:rPr>
        <w:t>Parametry oceniane – pakiet 8</w:t>
      </w:r>
    </w:p>
    <w:p w14:paraId="60AAE911" w14:textId="77777777" w:rsidR="00DA78F4" w:rsidRPr="00E71260" w:rsidRDefault="00DD34E7" w:rsidP="00DD34E7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Analizator immunochemiczny nie starszy niż 2019 i po przeglądzie</w:t>
      </w:r>
    </w:p>
    <w:p w14:paraId="17BC1C7A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269D2BFE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76AD8789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</w:p>
    <w:p w14:paraId="7A3591EB" w14:textId="77777777" w:rsidR="00DD34E7" w:rsidRPr="00E71260" w:rsidRDefault="00DD34E7" w:rsidP="00DD34E7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Metoda pomiaru chemiluminescencja.</w:t>
      </w:r>
    </w:p>
    <w:p w14:paraId="742BEE03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5456DCDA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23638977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</w:p>
    <w:p w14:paraId="3C9D4DC8" w14:textId="77777777" w:rsidR="00DD34E7" w:rsidRPr="00E71260" w:rsidRDefault="00DD34E7" w:rsidP="00DD34E7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 xml:space="preserve">Wszystkie odczynniki w stanie ciekłym gotowe do użycia bez konieczności </w:t>
      </w:r>
      <w:proofErr w:type="spellStart"/>
      <w:r w:rsidRPr="00E71260">
        <w:rPr>
          <w:rFonts w:ascii="Tahoma" w:hAnsi="Tahoma" w:cs="Tahoma"/>
          <w:sz w:val="20"/>
          <w:szCs w:val="20"/>
        </w:rPr>
        <w:t>rekonstytucji</w:t>
      </w:r>
      <w:proofErr w:type="spellEnd"/>
      <w:r w:rsidRPr="00E71260">
        <w:rPr>
          <w:rFonts w:ascii="Tahoma" w:hAnsi="Tahoma" w:cs="Tahoma"/>
          <w:sz w:val="20"/>
          <w:szCs w:val="20"/>
        </w:rPr>
        <w:t xml:space="preserve"> przed wstawieniem do analizatora.</w:t>
      </w:r>
    </w:p>
    <w:p w14:paraId="79BDCA4B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01069AE2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7570787C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</w:p>
    <w:p w14:paraId="76CB2993" w14:textId="77777777" w:rsidR="00DD34E7" w:rsidRPr="00E71260" w:rsidRDefault="00DD34E7" w:rsidP="00DD34E7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 xml:space="preserve">Metoda oznaczania </w:t>
      </w:r>
      <w:proofErr w:type="spellStart"/>
      <w:r w:rsidRPr="00E71260">
        <w:rPr>
          <w:rFonts w:ascii="Tahoma" w:hAnsi="Tahoma" w:cs="Tahoma"/>
          <w:sz w:val="20"/>
          <w:szCs w:val="20"/>
        </w:rPr>
        <w:t>prokalcytoniny</w:t>
      </w:r>
      <w:proofErr w:type="spellEnd"/>
      <w:r w:rsidRPr="00E71260">
        <w:rPr>
          <w:rFonts w:ascii="Tahoma" w:hAnsi="Tahoma" w:cs="Tahoma"/>
          <w:sz w:val="20"/>
          <w:szCs w:val="20"/>
        </w:rPr>
        <w:t xml:space="preserve"> wystandaryzowana wobec metody referencyjnej BRAHMS PCT.</w:t>
      </w:r>
    </w:p>
    <w:p w14:paraId="6B06F3CC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04C3BBA5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64025705" w14:textId="77777777" w:rsidR="00DD34E7" w:rsidRPr="00E71260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</w:p>
    <w:p w14:paraId="48D14FDB" w14:textId="77777777" w:rsidR="00DD34E7" w:rsidRPr="00E71260" w:rsidRDefault="00DD34E7" w:rsidP="00DD34E7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 xml:space="preserve">Kalibracja i </w:t>
      </w:r>
      <w:proofErr w:type="spellStart"/>
      <w:r w:rsidRPr="00E71260">
        <w:rPr>
          <w:rFonts w:ascii="Tahoma" w:hAnsi="Tahoma" w:cs="Tahoma"/>
          <w:sz w:val="20"/>
          <w:szCs w:val="20"/>
        </w:rPr>
        <w:t>rekalibracja</w:t>
      </w:r>
      <w:proofErr w:type="spellEnd"/>
      <w:r w:rsidRPr="00E71260">
        <w:rPr>
          <w:rFonts w:ascii="Tahoma" w:hAnsi="Tahoma" w:cs="Tahoma"/>
          <w:sz w:val="20"/>
          <w:szCs w:val="20"/>
        </w:rPr>
        <w:t xml:space="preserve"> testów przy użyciu nie więcej niż 2 kalibratorów.</w:t>
      </w:r>
    </w:p>
    <w:p w14:paraId="20F153C3" w14:textId="77777777" w:rsidR="00391980" w:rsidRPr="00E71260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65271317" w14:textId="77777777" w:rsidR="00391980" w:rsidRPr="00E71260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27143C7D" w14:textId="77777777" w:rsidR="00391980" w:rsidRPr="00E71260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</w:p>
    <w:p w14:paraId="4E6146CD" w14:textId="77777777" w:rsidR="00DD34E7" w:rsidRPr="00E71260" w:rsidRDefault="00DD34E7" w:rsidP="00DD34E7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Analizator z jednorazowymi końcówkami do pipetowania materiału badawczego i odczynników.</w:t>
      </w:r>
    </w:p>
    <w:p w14:paraId="04E5F394" w14:textId="77777777" w:rsidR="00391980" w:rsidRPr="00E71260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04BE24B9" w14:textId="77777777" w:rsidR="00391980" w:rsidRPr="00E71260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0D938A47" w14:textId="77777777" w:rsidR="00391980" w:rsidRPr="00E71260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</w:p>
    <w:p w14:paraId="702C7AB1" w14:textId="77777777" w:rsidR="00DD34E7" w:rsidRPr="00E71260" w:rsidRDefault="00DD34E7" w:rsidP="00DD34E7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Analizator wyposażony w detektor skrzepów badanej próbki oraz pęcherzy powietrza dla odczynników i próbek badanych.</w:t>
      </w:r>
    </w:p>
    <w:p w14:paraId="756BBB47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40FC910C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345555BF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48C758CD" w14:textId="77777777" w:rsidR="00DD34E7" w:rsidRPr="00E71260" w:rsidRDefault="00DD34E7" w:rsidP="00DD34E7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Możliwość ciągłego dostawiania próbek bez konieczności przerywania pracy analizatora.</w:t>
      </w:r>
    </w:p>
    <w:p w14:paraId="22A69734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6C035A7D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57B35AE1" w14:textId="77777777" w:rsidR="00DD34E7" w:rsidRPr="00E71260" w:rsidRDefault="00DD34E7" w:rsidP="00DD34E7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Analizator z automatycznym monitorowaniem stanu odczynników i materiałów zużywalnych.</w:t>
      </w:r>
    </w:p>
    <w:p w14:paraId="16B2521E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5204FD59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24781EDE" w14:textId="77777777" w:rsidR="00DD34E7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Chłodzone miejsca odczynnikowe na pokładzie analizatora.</w:t>
      </w:r>
    </w:p>
    <w:p w14:paraId="2F44F4D4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03713C1D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2A1BE8DF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0BC17FAB" w14:textId="77777777" w:rsidR="00391980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Wydajność min 80 analiz na godzinę.</w:t>
      </w:r>
    </w:p>
    <w:p w14:paraId="194B6FA2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32D9734B" w14:textId="56705267" w:rsidR="00CA01DF" w:rsidRDefault="00CA01DF" w:rsidP="00E71260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2E162098" w14:textId="77777777" w:rsidR="00E71260" w:rsidRPr="00E71260" w:rsidRDefault="00E71260" w:rsidP="00E71260">
      <w:pPr>
        <w:pStyle w:val="Akapitzlist"/>
        <w:rPr>
          <w:rFonts w:ascii="Tahoma" w:hAnsi="Tahoma" w:cs="Tahoma"/>
          <w:sz w:val="20"/>
          <w:szCs w:val="20"/>
        </w:rPr>
      </w:pPr>
    </w:p>
    <w:p w14:paraId="5B28CE5A" w14:textId="77777777" w:rsidR="00391980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Możliwość wykonywania badan w surowicy, osoczu.</w:t>
      </w:r>
    </w:p>
    <w:p w14:paraId="478135D3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0C4D343D" w14:textId="32876F1C" w:rsidR="00CA01DF" w:rsidRDefault="00CA01DF" w:rsidP="00CE0ECB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10BE55F3" w14:textId="77777777" w:rsidR="00CE0ECB" w:rsidRPr="00CE0ECB" w:rsidRDefault="00CE0ECB" w:rsidP="00CE0ECB">
      <w:pPr>
        <w:pStyle w:val="Akapitzlist"/>
        <w:rPr>
          <w:rFonts w:ascii="Tahoma" w:hAnsi="Tahoma" w:cs="Tahoma"/>
          <w:sz w:val="20"/>
          <w:szCs w:val="20"/>
        </w:rPr>
      </w:pPr>
    </w:p>
    <w:p w14:paraId="08D9C4C8" w14:textId="77777777" w:rsidR="00391980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Redukcja wpływu HAMA na wyniki.</w:t>
      </w:r>
    </w:p>
    <w:p w14:paraId="255EDE1C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437BAD84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7ABC7685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2B1BB6CB" w14:textId="660CFEAB" w:rsidR="00391980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lastRenderedPageBreak/>
        <w:t xml:space="preserve">Szybkość oznaczenia TROPONINY </w:t>
      </w:r>
      <w:r w:rsidR="00F02A61">
        <w:rPr>
          <w:rFonts w:ascii="Tahoma" w:hAnsi="Tahoma" w:cs="Tahoma"/>
          <w:sz w:val="20"/>
          <w:szCs w:val="20"/>
        </w:rPr>
        <w:t>maksymalnie do 20</w:t>
      </w:r>
      <w:r w:rsidRPr="00E71260">
        <w:rPr>
          <w:rFonts w:ascii="Tahoma" w:hAnsi="Tahoma" w:cs="Tahoma"/>
          <w:sz w:val="20"/>
          <w:szCs w:val="20"/>
        </w:rPr>
        <w:t xml:space="preserve"> min.</w:t>
      </w:r>
    </w:p>
    <w:p w14:paraId="61404191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79203DE0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64F2B149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4D88218C" w14:textId="77777777" w:rsidR="00391980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 xml:space="preserve">Możliwość oznaczenia próbek pediatrycznych – objętość próbki do jednego oznaczenia nie większa niż 50 </w:t>
      </w:r>
      <w:r w:rsidRPr="00E71260">
        <w:rPr>
          <w:rFonts w:ascii="Tahoma" w:hAnsi="Tahoma" w:cs="Tahoma"/>
          <w:sz w:val="20"/>
          <w:szCs w:val="20"/>
        </w:rPr>
        <w:t>l.</w:t>
      </w:r>
    </w:p>
    <w:p w14:paraId="7A7BE481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7DFA113C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7D742C0B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6CCAAEEF" w14:textId="77777777" w:rsidR="00391980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Czas uzyskania pozostałych wyników nie dłuższy niż 30 min.</w:t>
      </w:r>
    </w:p>
    <w:p w14:paraId="36A5FA4A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187FBF47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77D9CAD3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7946FE27" w14:textId="77777777" w:rsidR="00391980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Odczynniki do TSH, fT3, fT4  posiadające określoną przez producenta specyficzne wartości referencyjne dla populacji osób dorosłych, dzieci, kobiet w ciąży w poszczególnych trymestrach oraz osób starszych.</w:t>
      </w:r>
    </w:p>
    <w:p w14:paraId="339127F6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6033A3F4" w14:textId="7AFA09D3" w:rsidR="00CA01DF" w:rsidRDefault="00CA01DF" w:rsidP="00CE0ECB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6557D9AA" w14:textId="77777777" w:rsidR="00CE0ECB" w:rsidRPr="00CE0ECB" w:rsidRDefault="00CE0ECB" w:rsidP="00CE0ECB">
      <w:pPr>
        <w:pStyle w:val="Akapitzlist"/>
        <w:rPr>
          <w:rFonts w:ascii="Tahoma" w:hAnsi="Tahoma" w:cs="Tahoma"/>
          <w:sz w:val="20"/>
          <w:szCs w:val="20"/>
        </w:rPr>
      </w:pPr>
    </w:p>
    <w:p w14:paraId="3825A5E7" w14:textId="77777777" w:rsidR="00391980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 xml:space="preserve">Testy do oznaczania peptydów </w:t>
      </w:r>
      <w:proofErr w:type="spellStart"/>
      <w:r w:rsidRPr="00E71260">
        <w:rPr>
          <w:rFonts w:ascii="Tahoma" w:hAnsi="Tahoma" w:cs="Tahoma"/>
          <w:sz w:val="20"/>
          <w:szCs w:val="20"/>
        </w:rPr>
        <w:t>natiuretycznych</w:t>
      </w:r>
      <w:proofErr w:type="spellEnd"/>
      <w:r w:rsidRPr="00E71260">
        <w:rPr>
          <w:rFonts w:ascii="Tahoma" w:hAnsi="Tahoma" w:cs="Tahoma"/>
          <w:sz w:val="20"/>
          <w:szCs w:val="20"/>
        </w:rPr>
        <w:t xml:space="preserve"> umożliwiający wiarygodne monitorowanie pacjentów z niewydolnością serca leczonych nowymi lekami z grupy ARNI.</w:t>
      </w:r>
    </w:p>
    <w:p w14:paraId="175A55BA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7F978CFE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7408F6F6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16F743F7" w14:textId="77777777" w:rsidR="00391980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Analizator z pełna automatyzacją procesu oznaczania i możliwością rozcieńczania próbek po przekroczeniu liniowości.</w:t>
      </w:r>
    </w:p>
    <w:p w14:paraId="26F7134E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6FAC5021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408AF60D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2E0E3880" w14:textId="77777777" w:rsidR="00391980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Opakowanie zbiorcze testów na max 100 oznaczeń.</w:t>
      </w:r>
    </w:p>
    <w:p w14:paraId="729A4FED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24F9379A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07D6D635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57E458C3" w14:textId="77777777" w:rsidR="00391980" w:rsidRPr="00E71260" w:rsidRDefault="00391980" w:rsidP="0039198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Odczynniki gotowe do użycia i trwałe po otwarciu przez min. 3 miesiące.</w:t>
      </w:r>
    </w:p>
    <w:p w14:paraId="6E2E22CE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Tak – 10 pkt</w:t>
      </w:r>
    </w:p>
    <w:p w14:paraId="7AFA1D3D" w14:textId="77777777" w:rsidR="00CA01DF" w:rsidRPr="00E71260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E71260">
        <w:rPr>
          <w:rFonts w:ascii="Tahoma" w:hAnsi="Tahoma" w:cs="Tahoma"/>
          <w:sz w:val="20"/>
          <w:szCs w:val="20"/>
        </w:rPr>
        <w:t>Nie – 0 pkt</w:t>
      </w:r>
    </w:p>
    <w:p w14:paraId="68409648" w14:textId="77777777" w:rsidR="00DD34E7" w:rsidRPr="00E71260" w:rsidRDefault="00DD34E7" w:rsidP="00DD34E7">
      <w:pPr>
        <w:snapToGrid w:val="0"/>
        <w:rPr>
          <w:rFonts w:ascii="Tahoma" w:hAnsi="Tahoma" w:cs="Tahoma"/>
          <w:sz w:val="20"/>
          <w:szCs w:val="20"/>
        </w:rPr>
      </w:pPr>
    </w:p>
    <w:sectPr w:rsidR="00DD34E7" w:rsidRPr="00E71260" w:rsidSect="00E712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21E9E"/>
    <w:multiLevelType w:val="hybridMultilevel"/>
    <w:tmpl w:val="1990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C4"/>
    <w:rsid w:val="00391980"/>
    <w:rsid w:val="003D28C4"/>
    <w:rsid w:val="008F3049"/>
    <w:rsid w:val="00CA01DF"/>
    <w:rsid w:val="00CE0ECB"/>
    <w:rsid w:val="00DA78F4"/>
    <w:rsid w:val="00DD34E7"/>
    <w:rsid w:val="00E71260"/>
    <w:rsid w:val="00F02A61"/>
    <w:rsid w:val="00F15780"/>
    <w:rsid w:val="00F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CD70"/>
  <w15:chartTrackingRefBased/>
  <w15:docId w15:val="{F7FC9545-584C-4CC5-83DB-0A30CA83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Anna Mruk</cp:lastModifiedBy>
  <cp:revision>11</cp:revision>
  <cp:lastPrinted>2021-10-22T06:33:00Z</cp:lastPrinted>
  <dcterms:created xsi:type="dcterms:W3CDTF">2021-10-16T18:39:00Z</dcterms:created>
  <dcterms:modified xsi:type="dcterms:W3CDTF">2021-10-22T06:33:00Z</dcterms:modified>
</cp:coreProperties>
</file>