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013A800" w14:textId="58CF2311" w:rsidR="005950D5" w:rsidRPr="005950D5" w:rsidRDefault="00C005FF" w:rsidP="005950D5">
      <w:pPr>
        <w:spacing w:line="240" w:lineRule="auto"/>
        <w:jc w:val="center"/>
        <w:rPr>
          <w:rFonts w:asciiTheme="minorHAnsi" w:hAnsiTheme="minorHAnsi" w:cstheme="minorHAnsi"/>
          <w:b/>
          <w:bCs/>
        </w:rPr>
      </w:pPr>
      <w:bookmarkStart w:id="3" w:name="_Hlk107829201"/>
      <w:bookmarkStart w:id="4" w:name="_Hlk107841529"/>
      <w:r>
        <w:rPr>
          <w:rFonts w:asciiTheme="minorHAnsi" w:hAnsiTheme="minorHAnsi" w:cstheme="minorHAnsi"/>
          <w:b/>
          <w:bCs/>
        </w:rPr>
        <w:t>Dopiewo</w:t>
      </w:r>
      <w:r w:rsidR="005950D5" w:rsidRPr="005950D5">
        <w:rPr>
          <w:rFonts w:asciiTheme="minorHAnsi" w:hAnsiTheme="minorHAnsi" w:cstheme="minorHAnsi"/>
          <w:b/>
          <w:bCs/>
        </w:rPr>
        <w:t xml:space="preserve"> – </w:t>
      </w:r>
      <w:r>
        <w:rPr>
          <w:rFonts w:asciiTheme="minorHAnsi" w:hAnsiTheme="minorHAnsi" w:cstheme="minorHAnsi"/>
          <w:b/>
          <w:bCs/>
        </w:rPr>
        <w:t xml:space="preserve">budowa ul. Wysokiej </w:t>
      </w:r>
      <w:r w:rsidR="0018210F">
        <w:rPr>
          <w:rFonts w:asciiTheme="minorHAnsi" w:hAnsiTheme="minorHAnsi" w:cstheme="minorHAnsi"/>
          <w:b/>
          <w:bCs/>
        </w:rPr>
        <w:t xml:space="preserve">(etap I ) </w:t>
      </w:r>
      <w:r w:rsidR="00481C2E">
        <w:rPr>
          <w:rFonts w:asciiTheme="minorHAnsi" w:hAnsiTheme="minorHAnsi" w:cstheme="minorHAnsi"/>
          <w:b/>
          <w:bCs/>
        </w:rPr>
        <w:t xml:space="preserve">wraz z </w:t>
      </w:r>
      <w:r>
        <w:rPr>
          <w:rFonts w:asciiTheme="minorHAnsi" w:hAnsiTheme="minorHAnsi" w:cstheme="minorHAnsi"/>
          <w:b/>
          <w:bCs/>
        </w:rPr>
        <w:t xml:space="preserve"> budow</w:t>
      </w:r>
      <w:r w:rsidR="00481C2E">
        <w:rPr>
          <w:rFonts w:asciiTheme="minorHAnsi" w:hAnsiTheme="minorHAnsi" w:cstheme="minorHAnsi"/>
          <w:b/>
          <w:bCs/>
        </w:rPr>
        <w:t>ą</w:t>
      </w:r>
      <w:r>
        <w:rPr>
          <w:rFonts w:asciiTheme="minorHAnsi" w:hAnsiTheme="minorHAnsi" w:cstheme="minorHAnsi"/>
          <w:b/>
          <w:bCs/>
        </w:rPr>
        <w:t xml:space="preserve"> oświetlenia drogowego</w:t>
      </w:r>
    </w:p>
    <w:bookmarkEnd w:id="3"/>
    <w:p w14:paraId="30A49132" w14:textId="74A0FAD3" w:rsidR="008870AA" w:rsidRDefault="008870AA" w:rsidP="008870AA">
      <w:pPr>
        <w:spacing w:line="319" w:lineRule="auto"/>
        <w:jc w:val="center"/>
        <w:rPr>
          <w:rFonts w:asciiTheme="minorHAnsi" w:hAnsiTheme="minorHAnsi" w:cstheme="minorHAnsi"/>
        </w:rPr>
      </w:pPr>
    </w:p>
    <w:bookmarkEnd w:id="4"/>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3A276AA"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119F3">
        <w:rPr>
          <w:rFonts w:asciiTheme="minorHAnsi" w:hAnsiTheme="minorHAnsi" w:cstheme="minorHAnsi"/>
          <w:b/>
          <w:bCs/>
        </w:rPr>
        <w:t>27</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A9F396A"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2119F3">
        <w:rPr>
          <w:rFonts w:asciiTheme="minorHAnsi" w:eastAsia="Times New Roman" w:hAnsiTheme="minorHAnsi" w:cstheme="minorHAnsi"/>
          <w:b/>
          <w:bCs/>
        </w:rPr>
        <w:t>9</w:t>
      </w:r>
      <w:r w:rsidR="00311B20" w:rsidRPr="00311B20">
        <w:rPr>
          <w:rFonts w:asciiTheme="minorHAnsi" w:eastAsia="Times New Roman" w:hAnsiTheme="minorHAnsi" w:cstheme="minorHAnsi"/>
          <w:b/>
          <w:bCs/>
        </w:rPr>
        <w:t>.</w:t>
      </w:r>
      <w:r w:rsidR="002119F3">
        <w:rPr>
          <w:rFonts w:asciiTheme="minorHAnsi" w:eastAsia="Times New Roman" w:hAnsiTheme="minorHAnsi" w:cstheme="minorHAnsi"/>
          <w:b/>
          <w:bCs/>
        </w:rPr>
        <w:t>16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6"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32386031"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59B4BFC3"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4</w:t>
            </w:r>
            <w:r w:rsidR="00CD6136" w:rsidRPr="00CD6136">
              <w:rPr>
                <w:rFonts w:asciiTheme="minorHAnsi" w:hAnsiTheme="minorHAnsi" w:cstheme="minorHAnsi"/>
                <w:noProof/>
                <w:webHidden/>
              </w:rPr>
              <w:fldChar w:fldCharType="end"/>
            </w:r>
          </w:hyperlink>
        </w:p>
        <w:p w14:paraId="3E6DAB1E" w14:textId="19CBDD17"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7FAFC5C8"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5D4B74CD"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766BDF57"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8</w:t>
            </w:r>
            <w:r w:rsidR="00CD6136" w:rsidRPr="00CD6136">
              <w:rPr>
                <w:rFonts w:asciiTheme="minorHAnsi" w:hAnsiTheme="minorHAnsi" w:cstheme="minorHAnsi"/>
                <w:noProof/>
                <w:webHidden/>
              </w:rPr>
              <w:fldChar w:fldCharType="end"/>
            </w:r>
          </w:hyperlink>
        </w:p>
        <w:p w14:paraId="4BE58145" w14:textId="4C2D4255"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3959393B"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137EC9DA"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686C8E02" w14:textId="176C84D0"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2790E255" w14:textId="7D04B52E"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7C47972A" w14:textId="12E27057"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18</w:t>
            </w:r>
            <w:r w:rsidR="00CD6136" w:rsidRPr="00CD6136">
              <w:rPr>
                <w:rFonts w:asciiTheme="minorHAnsi" w:hAnsiTheme="minorHAnsi" w:cstheme="minorHAnsi"/>
                <w:noProof/>
                <w:webHidden/>
              </w:rPr>
              <w:fldChar w:fldCharType="end"/>
            </w:r>
          </w:hyperlink>
        </w:p>
        <w:p w14:paraId="617F209D" w14:textId="5889926D"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4D7F23D9"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28A779EC" w14:textId="0BB4BCD6"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3BFD25FB" w14:textId="05F3A45F"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79A6E074" w14:textId="592091C0"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11FDACEB" w14:textId="5AC8D68B"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4BDF60B4" w14:textId="319245FB"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538DAF1C" w14:textId="59F38C99"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D839737" w14:textId="2A212D90"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3C4D1536" w14:textId="34B89CAC"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43398BF" w14:textId="486D18E9"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156328">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07829566"/>
      <w:r w:rsidRPr="008870AA">
        <w:rPr>
          <w:rFonts w:asciiTheme="minorHAnsi" w:hAnsiTheme="minorHAnsi" w:cstheme="minorHAnsi"/>
          <w:b/>
          <w:bCs/>
          <w:sz w:val="24"/>
          <w:szCs w:val="24"/>
        </w:rPr>
        <w:t>IV. Opis przedmiotu zamówienia</w:t>
      </w:r>
      <w:bookmarkStart w:id="11" w:name="_Hlk66787009"/>
      <w:bookmarkEnd w:id="10"/>
    </w:p>
    <w:p w14:paraId="0581BA54" w14:textId="6D5A50ED" w:rsidR="008870AA" w:rsidRPr="005950D5" w:rsidRDefault="008870AA" w:rsidP="00296A44">
      <w:pPr>
        <w:jc w:val="both"/>
        <w:rPr>
          <w:rFonts w:asciiTheme="minorHAnsi" w:hAnsiTheme="minorHAnsi" w:cstheme="minorHAnsi"/>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481C2E">
        <w:rPr>
          <w:rFonts w:asciiTheme="minorHAnsi" w:hAnsiTheme="minorHAnsi" w:cstheme="minorHAnsi"/>
        </w:rPr>
        <w:t>budowa ul. Wysokiej (etap I) wraz z budową oświetlenia drogowego</w:t>
      </w:r>
      <w:r w:rsidR="00A94A09">
        <w:rPr>
          <w:rFonts w:asciiTheme="minorHAnsi" w:hAnsiTheme="minorHAnsi" w:cstheme="minorHAnsi"/>
        </w:rPr>
        <w:t>.</w:t>
      </w:r>
    </w:p>
    <w:p w14:paraId="7B9F8E96" w14:textId="47A7AB8E" w:rsidR="0089362D" w:rsidRDefault="0089362D" w:rsidP="0089362D">
      <w:pPr>
        <w:jc w:val="both"/>
        <w:rPr>
          <w:rFonts w:asciiTheme="minorHAnsi" w:hAnsiTheme="minorHAnsi" w:cstheme="minorHAnsi"/>
        </w:rPr>
      </w:pPr>
    </w:p>
    <w:p w14:paraId="066D53E9" w14:textId="3CE6C3EF" w:rsidR="00C34DDD" w:rsidRPr="00C17059" w:rsidRDefault="00C34DDD" w:rsidP="0089362D">
      <w:pPr>
        <w:jc w:val="both"/>
        <w:rPr>
          <w:rFonts w:asciiTheme="minorHAnsi" w:hAnsiTheme="minorHAnsi" w:cstheme="minorHAnsi"/>
          <w:u w:val="single"/>
        </w:rPr>
      </w:pPr>
      <w:r w:rsidRPr="00C17059">
        <w:rPr>
          <w:rFonts w:asciiTheme="minorHAnsi" w:hAnsiTheme="minorHAnsi" w:cstheme="minorHAnsi"/>
          <w:u w:val="single"/>
        </w:rPr>
        <w:t>Krótki opis przedmiotu zamówienia:</w:t>
      </w:r>
    </w:p>
    <w:p w14:paraId="0208F126" w14:textId="77777777" w:rsidR="00962615" w:rsidRPr="00962615" w:rsidRDefault="00962615" w:rsidP="00962615">
      <w:pPr>
        <w:spacing w:line="240" w:lineRule="auto"/>
        <w:jc w:val="both"/>
        <w:rPr>
          <w:rFonts w:asciiTheme="minorHAnsi" w:hAnsiTheme="minorHAnsi" w:cstheme="minorHAnsi"/>
          <w:b/>
          <w:bCs/>
          <w:kern w:val="3"/>
          <w:lang w:eastAsia="en-US"/>
        </w:rPr>
      </w:pPr>
      <w:r w:rsidRPr="00962615">
        <w:rPr>
          <w:rFonts w:asciiTheme="minorHAnsi" w:eastAsia="Times New Roman" w:hAnsiTheme="minorHAnsi" w:cstheme="minorHAnsi"/>
          <w:b/>
          <w:kern w:val="3"/>
          <w:lang w:val="pl-PL" w:eastAsia="en-US"/>
        </w:rPr>
        <w:t xml:space="preserve">-  Budowa jezdni z chodnikiem – nawierzchnia z kostki betonowej fazowanej o grubości  8cm, o łącznej  powierzchni 2279m2 i długości jezdni 295 m. </w:t>
      </w:r>
    </w:p>
    <w:p w14:paraId="2C17EB3D" w14:textId="77777777" w:rsidR="00962615" w:rsidRPr="00962615" w:rsidRDefault="00962615">
      <w:pPr>
        <w:numPr>
          <w:ilvl w:val="0"/>
          <w:numId w:val="35"/>
        </w:numPr>
        <w:spacing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Projektowana jezdnia ulicy Wysokiej rozpoczyna się dowiązaniem sytuacyjnym i wysokościowym do istniejącego terenu, w tym do drogi gminnej ul. Majcherka a kończy etap I  w km 0 +295. </w:t>
      </w:r>
    </w:p>
    <w:p w14:paraId="2CA851FD" w14:textId="77777777" w:rsidR="00962615" w:rsidRPr="00962615" w:rsidRDefault="00962615" w:rsidP="00962615">
      <w:pPr>
        <w:spacing w:after="160" w:line="240" w:lineRule="auto"/>
        <w:ind w:left="720"/>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Jezdnia o konstrukcji pod kategorię ruchu KR2, z warstwą ścieralną z kostki betonowej fazowanej o grubości 8 cm, w kolorze szarym,  szerokości 5,0m pomiędzy krawężnikami, pochyleniu jednostronnym ze ściekiem o szerokości 0,2m. </w:t>
      </w:r>
    </w:p>
    <w:p w14:paraId="505E24AF" w14:textId="77777777" w:rsidR="00962615" w:rsidRPr="00962615" w:rsidRDefault="00962615">
      <w:pPr>
        <w:numPr>
          <w:ilvl w:val="0"/>
          <w:numId w:val="35"/>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Zjazdy indywidualne na posesje prywatne i pola uprawne o parametrach zgodnych z wymaganiami technicznymi. Zjazdy o szerokości istniejących bram o minimalnej szerokości 3,0m lub w przypadku braku o min. szerokości 4,5m wyokrąglono łukiem R=3m lub wykonać skos krawędzi zjazdu i krawędzi nawierzchni 1:1. Konstrukcje zjazdów wykonać zgodnie z projektem, z warstwą ścieralną z kostki betonowej fazowanej grubości 8 cm, w kolorze grafitowym. </w:t>
      </w:r>
    </w:p>
    <w:p w14:paraId="46B23C3E" w14:textId="77777777" w:rsidR="00962615" w:rsidRPr="00962615" w:rsidRDefault="00962615">
      <w:pPr>
        <w:numPr>
          <w:ilvl w:val="0"/>
          <w:numId w:val="35"/>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Chodnik jednostronny, o szerokości 2,0m, o konstrukcji z warstwą ścieralną z betonowej kostki fazowanej o grubości 8 cm, w kolorze szarym. </w:t>
      </w:r>
    </w:p>
    <w:p w14:paraId="3EBDFB3A" w14:textId="77777777" w:rsidR="00962615" w:rsidRPr="00962615" w:rsidRDefault="00962615">
      <w:pPr>
        <w:numPr>
          <w:ilvl w:val="0"/>
          <w:numId w:val="35"/>
        </w:numPr>
        <w:spacing w:after="160" w:line="259" w:lineRule="auto"/>
        <w:contextualSpacing/>
        <w:rPr>
          <w:rFonts w:asciiTheme="minorHAnsi" w:eastAsiaTheme="minorHAnsi" w:hAnsiTheme="minorHAnsi" w:cstheme="minorHAnsi"/>
          <w:kern w:val="3"/>
          <w:lang w:val="pl-PL" w:eastAsia="en-US"/>
        </w:rPr>
      </w:pPr>
      <w:r w:rsidRPr="00962615">
        <w:rPr>
          <w:rFonts w:asciiTheme="minorHAnsi" w:eastAsiaTheme="minorHAnsi" w:hAnsiTheme="minorHAnsi" w:cstheme="minorHAnsi"/>
          <w:kern w:val="3"/>
          <w:lang w:val="pl-PL" w:eastAsia="en-US"/>
        </w:rPr>
        <w:t xml:space="preserve">Krawężniki należy wykonać zgodnie z Rysunkiem nr 4  ,,Przekroje normalne, szczegóły konstrukcyjne”, zawartym w części III projektu wykonawczym Branży drogowej (Tom II). </w:t>
      </w:r>
    </w:p>
    <w:p w14:paraId="195BBEB5" w14:textId="77777777" w:rsidR="00962615" w:rsidRPr="00962615" w:rsidRDefault="00962615" w:rsidP="00962615">
      <w:pPr>
        <w:spacing w:line="240" w:lineRule="auto"/>
        <w:jc w:val="both"/>
        <w:rPr>
          <w:rFonts w:asciiTheme="minorHAnsi" w:eastAsia="Times New Roman" w:hAnsiTheme="minorHAnsi" w:cstheme="minorHAnsi"/>
          <w:b/>
          <w:kern w:val="3"/>
          <w:lang w:val="pl-PL" w:eastAsia="en-US"/>
        </w:rPr>
      </w:pPr>
      <w:r w:rsidRPr="00962615">
        <w:rPr>
          <w:rFonts w:asciiTheme="minorHAnsi" w:eastAsia="Times New Roman" w:hAnsiTheme="minorHAnsi" w:cstheme="minorHAnsi"/>
          <w:b/>
          <w:kern w:val="3"/>
          <w:lang w:val="pl-PL" w:eastAsia="en-US"/>
        </w:rPr>
        <w:lastRenderedPageBreak/>
        <w:t xml:space="preserve"> -  Budowa kanału deszczowego z zastosowaniem retencji kanałowej i budową wylotu do rowu W-C-5:</w:t>
      </w:r>
    </w:p>
    <w:p w14:paraId="6FAFE909" w14:textId="77777777" w:rsidR="00962615" w:rsidRPr="00962615" w:rsidRDefault="00962615">
      <w:pPr>
        <w:numPr>
          <w:ilvl w:val="0"/>
          <w:numId w:val="36"/>
        </w:numPr>
        <w:spacing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Parametry kanału: rury PVC-U klasy S lite SN8, Ø315mm – 491,60 m, Ø400mm – 370,60 m, Ø200mm – 85,20m, łączone kielichowo na uszczelkę; </w:t>
      </w:r>
    </w:p>
    <w:p w14:paraId="4A8C02D1" w14:textId="77777777" w:rsidR="00962615" w:rsidRPr="00962615" w:rsidRDefault="00962615">
      <w:pPr>
        <w:numPr>
          <w:ilvl w:val="0"/>
          <w:numId w:val="36"/>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Studnie rewizyjne wykonać z kręgów betonowych prefabrykowanych o średnicy DN 1000mm  z włazami kanałowymi okrągłymi wentylowanymi o średnicy DN 600, klasy D400 z korpusem z żeliwa o wys. min. 140mm i pokrywą wypełnioną betonem klasy C 35/45 - 27 szt.;</w:t>
      </w:r>
    </w:p>
    <w:p w14:paraId="7854F233" w14:textId="77777777" w:rsidR="00962615" w:rsidRPr="00962615" w:rsidRDefault="00962615">
      <w:pPr>
        <w:numPr>
          <w:ilvl w:val="0"/>
          <w:numId w:val="36"/>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Studzienki wpustowe uliczne z elementów betonowych i żelbetowych o średnicy DN 500mm, z osadnikiem o wysokości 1,0m, z wpustami </w:t>
      </w:r>
      <w:proofErr w:type="spellStart"/>
      <w:r w:rsidRPr="00962615">
        <w:rPr>
          <w:rFonts w:asciiTheme="minorHAnsi" w:eastAsia="Times New Roman" w:hAnsiTheme="minorHAnsi" w:cstheme="minorHAnsi"/>
          <w:kern w:val="3"/>
          <w:lang w:val="pl-PL" w:eastAsia="en-US"/>
        </w:rPr>
        <w:t>przykrawężnikowymi</w:t>
      </w:r>
      <w:proofErr w:type="spellEnd"/>
      <w:r w:rsidRPr="00962615">
        <w:rPr>
          <w:rFonts w:asciiTheme="minorHAnsi" w:eastAsia="Times New Roman" w:hAnsiTheme="minorHAnsi" w:cstheme="minorHAnsi"/>
          <w:kern w:val="3"/>
          <w:lang w:val="pl-PL" w:eastAsia="en-US"/>
        </w:rPr>
        <w:t xml:space="preserve">, klasy D 400kN – 23 szt.; </w:t>
      </w:r>
    </w:p>
    <w:p w14:paraId="6DDC8C68" w14:textId="77777777" w:rsidR="00962615" w:rsidRPr="00962615" w:rsidRDefault="00962615">
      <w:pPr>
        <w:numPr>
          <w:ilvl w:val="0"/>
          <w:numId w:val="36"/>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separator zintegrowany z osadnikiem o przepustowości nominalnej 6-10l/s, przepustowości maksymalnej 100l/s i pojemności osadnika 1000l –szt. 1. </w:t>
      </w:r>
    </w:p>
    <w:p w14:paraId="4103519D" w14:textId="77777777" w:rsidR="00962615" w:rsidRPr="00962615" w:rsidRDefault="00962615">
      <w:pPr>
        <w:numPr>
          <w:ilvl w:val="0"/>
          <w:numId w:val="36"/>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Regulator przepływu  30l/s. zlokalizowany zgodnie z profilem podłużnym.</w:t>
      </w:r>
      <w:r w:rsidRPr="00962615">
        <w:rPr>
          <w:rFonts w:asciiTheme="minorHAnsi" w:eastAsia="Times New Roman" w:hAnsiTheme="minorHAnsi" w:cstheme="minorHAnsi"/>
          <w:b/>
          <w:kern w:val="3"/>
          <w:lang w:val="pl-PL" w:eastAsia="en-US"/>
        </w:rPr>
        <w:t xml:space="preserve"> </w:t>
      </w:r>
      <w:r w:rsidRPr="00962615">
        <w:rPr>
          <w:rFonts w:asciiTheme="minorHAnsi" w:eastAsia="Times New Roman" w:hAnsiTheme="minorHAnsi" w:cstheme="minorHAnsi"/>
          <w:kern w:val="3"/>
          <w:lang w:val="pl-PL" w:eastAsia="en-US"/>
        </w:rPr>
        <w:t xml:space="preserve"> </w:t>
      </w:r>
    </w:p>
    <w:p w14:paraId="375EDA2A" w14:textId="77777777" w:rsidR="00962615" w:rsidRPr="00962615" w:rsidRDefault="00962615">
      <w:pPr>
        <w:numPr>
          <w:ilvl w:val="0"/>
          <w:numId w:val="36"/>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Budowa wylotu do rowu W-C-5 wraz z zabezpieczeniem skarp i dna odbiornika płytami betonowymi ażurowymi.</w:t>
      </w:r>
    </w:p>
    <w:p w14:paraId="4CE446D6" w14:textId="77777777" w:rsidR="00962615" w:rsidRPr="00962615" w:rsidRDefault="00962615" w:rsidP="00962615">
      <w:pPr>
        <w:spacing w:line="240" w:lineRule="auto"/>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b/>
          <w:kern w:val="3"/>
          <w:lang w:val="pl-PL" w:eastAsia="en-US"/>
        </w:rPr>
        <w:t>- Budowa oświetlenia ulicznego</w:t>
      </w:r>
      <w:r w:rsidRPr="00962615">
        <w:rPr>
          <w:rFonts w:asciiTheme="minorHAnsi" w:eastAsia="Times New Roman" w:hAnsiTheme="minorHAnsi" w:cstheme="minorHAnsi"/>
          <w:kern w:val="3"/>
          <w:lang w:val="pl-PL" w:eastAsia="en-US"/>
        </w:rPr>
        <w:t xml:space="preserve"> </w:t>
      </w:r>
      <w:r w:rsidRPr="00962615">
        <w:rPr>
          <w:rFonts w:asciiTheme="minorHAnsi" w:eastAsia="Times New Roman" w:hAnsiTheme="minorHAnsi" w:cstheme="minorHAnsi"/>
          <w:b/>
          <w:kern w:val="3"/>
          <w:lang w:val="pl-PL" w:eastAsia="en-US"/>
        </w:rPr>
        <w:t>-  6szt. lamp</w:t>
      </w:r>
    </w:p>
    <w:p w14:paraId="6C7E67D1" w14:textId="77777777" w:rsidR="00962615" w:rsidRPr="00962615" w:rsidRDefault="00962615">
      <w:pPr>
        <w:numPr>
          <w:ilvl w:val="0"/>
          <w:numId w:val="37"/>
        </w:numPr>
        <w:spacing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Lampy na słupach aluminiowych o wysokości h=7,0m;</w:t>
      </w:r>
    </w:p>
    <w:p w14:paraId="4861A23B" w14:textId="77777777" w:rsidR="00962615" w:rsidRPr="00962615" w:rsidRDefault="00962615">
      <w:pPr>
        <w:numPr>
          <w:ilvl w:val="0"/>
          <w:numId w:val="37"/>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oprawy oświetleniowe z modułami Led spełniającymi wymagania normy PN-EN 62471, zainstalowane na wysięgnikach aluminiowych, łukowych jednoramiennych o długości 1,0m i wys. 1,0m (1,18m) nachylonymi pod kątem 5°; </w:t>
      </w:r>
    </w:p>
    <w:p w14:paraId="64997B16" w14:textId="77777777" w:rsidR="00962615" w:rsidRPr="00962615" w:rsidRDefault="00962615">
      <w:pPr>
        <w:numPr>
          <w:ilvl w:val="0"/>
          <w:numId w:val="37"/>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słupy montowane na betonowych fundamentach prefabrykowanych jednoczęściowych;</w:t>
      </w:r>
    </w:p>
    <w:p w14:paraId="6F13EA09" w14:textId="77777777" w:rsidR="00962615" w:rsidRPr="00962615" w:rsidRDefault="00962615">
      <w:pPr>
        <w:numPr>
          <w:ilvl w:val="0"/>
          <w:numId w:val="37"/>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Słupy i wysięgniki w kolorze </w:t>
      </w:r>
      <w:proofErr w:type="spellStart"/>
      <w:r w:rsidRPr="00962615">
        <w:rPr>
          <w:rFonts w:asciiTheme="minorHAnsi" w:eastAsia="Times New Roman" w:hAnsiTheme="minorHAnsi" w:cstheme="minorHAnsi"/>
          <w:kern w:val="3"/>
          <w:lang w:val="pl-PL" w:eastAsia="en-US"/>
        </w:rPr>
        <w:t>Inox</w:t>
      </w:r>
      <w:proofErr w:type="spellEnd"/>
      <w:r w:rsidRPr="00962615">
        <w:rPr>
          <w:rFonts w:asciiTheme="minorHAnsi" w:eastAsia="Times New Roman" w:hAnsiTheme="minorHAnsi" w:cstheme="minorHAnsi"/>
          <w:kern w:val="3"/>
          <w:lang w:val="pl-PL" w:eastAsia="en-US"/>
        </w:rPr>
        <w:t xml:space="preserve">; </w:t>
      </w:r>
    </w:p>
    <w:p w14:paraId="6A063C73" w14:textId="77777777" w:rsidR="00962615" w:rsidRPr="00962615" w:rsidRDefault="00962615">
      <w:pPr>
        <w:numPr>
          <w:ilvl w:val="0"/>
          <w:numId w:val="37"/>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Zasilanie oświetlenia wykonać z istniejącej szafki oświetleniowej zlokalizowanej na działce drogowej na wysokości działki nr 114/1. </w:t>
      </w:r>
    </w:p>
    <w:p w14:paraId="0C49F840" w14:textId="77777777" w:rsidR="00962615" w:rsidRPr="00962615" w:rsidRDefault="00962615" w:rsidP="00962615">
      <w:pPr>
        <w:spacing w:line="240" w:lineRule="auto"/>
        <w:jc w:val="both"/>
        <w:rPr>
          <w:rFonts w:asciiTheme="minorHAnsi" w:eastAsia="Times New Roman" w:hAnsiTheme="minorHAnsi" w:cstheme="minorHAnsi"/>
          <w:b/>
          <w:kern w:val="3"/>
          <w:lang w:val="pl-PL" w:eastAsia="en-US"/>
        </w:rPr>
      </w:pPr>
      <w:r w:rsidRPr="00962615">
        <w:rPr>
          <w:rFonts w:asciiTheme="minorHAnsi" w:eastAsia="Times New Roman" w:hAnsiTheme="minorHAnsi" w:cstheme="minorHAnsi"/>
          <w:b/>
          <w:kern w:val="3"/>
          <w:lang w:val="pl-PL" w:eastAsia="en-US"/>
        </w:rPr>
        <w:t xml:space="preserve"> - Przebudowa sieci gazowej średniego ciśnienia  DN50 (stal) / Dz63 (PE) oraz przebudowa i przełączenie istniejących przyłączy</w:t>
      </w:r>
    </w:p>
    <w:p w14:paraId="0CC55504" w14:textId="77777777" w:rsidR="00962615" w:rsidRPr="00962615" w:rsidRDefault="00962615">
      <w:pPr>
        <w:numPr>
          <w:ilvl w:val="0"/>
          <w:numId w:val="38"/>
        </w:numPr>
        <w:spacing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 xml:space="preserve">Gazociąg wykonać z rur PE 100SDR11 o średnicy </w:t>
      </w:r>
      <w:proofErr w:type="spellStart"/>
      <w:r w:rsidRPr="00962615">
        <w:rPr>
          <w:rFonts w:asciiTheme="minorHAnsi" w:eastAsia="Times New Roman" w:hAnsiTheme="minorHAnsi" w:cstheme="minorHAnsi"/>
          <w:kern w:val="3"/>
          <w:lang w:val="pl-PL" w:eastAsia="en-US"/>
        </w:rPr>
        <w:t>Dz</w:t>
      </w:r>
      <w:proofErr w:type="spellEnd"/>
      <w:r w:rsidRPr="00962615">
        <w:rPr>
          <w:rFonts w:asciiTheme="minorHAnsi" w:eastAsia="Times New Roman" w:hAnsiTheme="minorHAnsi" w:cstheme="minorHAnsi"/>
          <w:kern w:val="3"/>
          <w:lang w:val="pl-PL" w:eastAsia="en-US"/>
        </w:rPr>
        <w:t xml:space="preserve"> 63mm   – dł. 649,7m  i z rur PE100 SDR11 RC o średnicy </w:t>
      </w:r>
      <w:proofErr w:type="spellStart"/>
      <w:r w:rsidRPr="00962615">
        <w:rPr>
          <w:rFonts w:asciiTheme="minorHAnsi" w:eastAsia="Times New Roman" w:hAnsiTheme="minorHAnsi" w:cstheme="minorHAnsi"/>
          <w:kern w:val="3"/>
          <w:lang w:val="pl-PL" w:eastAsia="en-US"/>
        </w:rPr>
        <w:t>Dz</w:t>
      </w:r>
      <w:proofErr w:type="spellEnd"/>
      <w:r w:rsidRPr="00962615">
        <w:rPr>
          <w:rFonts w:asciiTheme="minorHAnsi" w:eastAsia="Times New Roman" w:hAnsiTheme="minorHAnsi" w:cstheme="minorHAnsi"/>
          <w:kern w:val="3"/>
          <w:lang w:val="pl-PL" w:eastAsia="en-US"/>
        </w:rPr>
        <w:t xml:space="preserve"> 25mm i </w:t>
      </w:r>
      <w:proofErr w:type="spellStart"/>
      <w:r w:rsidRPr="00962615">
        <w:rPr>
          <w:rFonts w:asciiTheme="minorHAnsi" w:eastAsia="Times New Roman" w:hAnsiTheme="minorHAnsi" w:cstheme="minorHAnsi"/>
          <w:kern w:val="3"/>
          <w:lang w:val="pl-PL" w:eastAsia="en-US"/>
        </w:rPr>
        <w:t>Dz</w:t>
      </w:r>
      <w:proofErr w:type="spellEnd"/>
      <w:r w:rsidRPr="00962615">
        <w:rPr>
          <w:rFonts w:asciiTheme="minorHAnsi" w:eastAsia="Times New Roman" w:hAnsiTheme="minorHAnsi" w:cstheme="minorHAnsi"/>
          <w:kern w:val="3"/>
          <w:lang w:val="pl-PL" w:eastAsia="en-US"/>
        </w:rPr>
        <w:t xml:space="preserve"> 32mm (przyłącza).</w:t>
      </w:r>
    </w:p>
    <w:p w14:paraId="095B42EA" w14:textId="77777777" w:rsidR="00962615" w:rsidRPr="00962615" w:rsidRDefault="00962615" w:rsidP="00962615">
      <w:pPr>
        <w:spacing w:line="240" w:lineRule="auto"/>
        <w:jc w:val="both"/>
        <w:rPr>
          <w:rFonts w:asciiTheme="minorHAnsi" w:eastAsia="Times New Roman" w:hAnsiTheme="minorHAnsi" w:cstheme="minorHAnsi"/>
          <w:b/>
          <w:kern w:val="3"/>
          <w:lang w:val="pl-PL" w:eastAsia="en-US"/>
        </w:rPr>
      </w:pPr>
      <w:r w:rsidRPr="00962615">
        <w:rPr>
          <w:rFonts w:asciiTheme="minorHAnsi" w:eastAsia="Times New Roman" w:hAnsiTheme="minorHAnsi" w:cstheme="minorHAnsi"/>
          <w:b/>
          <w:kern w:val="3"/>
          <w:lang w:val="pl-PL" w:eastAsia="en-US"/>
        </w:rPr>
        <w:t xml:space="preserve"> - Element systemu organizacji i bezpieczeństwa ruchu</w:t>
      </w:r>
    </w:p>
    <w:p w14:paraId="0D22B0ED" w14:textId="77777777" w:rsidR="00962615" w:rsidRPr="00962615" w:rsidRDefault="00962615">
      <w:pPr>
        <w:numPr>
          <w:ilvl w:val="0"/>
          <w:numId w:val="38"/>
        </w:numPr>
        <w:spacing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Znaki pionowe</w:t>
      </w:r>
    </w:p>
    <w:p w14:paraId="06EA2421" w14:textId="77777777" w:rsidR="00962615" w:rsidRPr="00962615" w:rsidRDefault="00962615">
      <w:pPr>
        <w:numPr>
          <w:ilvl w:val="0"/>
          <w:numId w:val="38"/>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Znaki poziome</w:t>
      </w:r>
    </w:p>
    <w:p w14:paraId="5F78CA06" w14:textId="77777777" w:rsidR="00962615" w:rsidRPr="00962615" w:rsidRDefault="00962615">
      <w:pPr>
        <w:numPr>
          <w:ilvl w:val="0"/>
          <w:numId w:val="38"/>
        </w:numPr>
        <w:spacing w:after="200" w:line="240" w:lineRule="auto"/>
        <w:contextualSpacing/>
        <w:jc w:val="both"/>
        <w:rPr>
          <w:rFonts w:asciiTheme="minorHAnsi" w:eastAsia="Times New Roman" w:hAnsiTheme="minorHAnsi" w:cstheme="minorHAnsi"/>
          <w:kern w:val="3"/>
          <w:lang w:val="pl-PL" w:eastAsia="en-US"/>
        </w:rPr>
      </w:pPr>
      <w:r w:rsidRPr="00962615">
        <w:rPr>
          <w:rFonts w:asciiTheme="minorHAnsi" w:eastAsia="Times New Roman" w:hAnsiTheme="minorHAnsi" w:cstheme="minorHAnsi"/>
          <w:kern w:val="3"/>
          <w:lang w:val="pl-PL" w:eastAsia="en-US"/>
        </w:rPr>
        <w:t>Elementy bezpieczeństwa ruchu  - 3 progi zwalniające, z betonowej kostki brukowej fazowanej grubości 8 cm. Kostka na progach koloru czerwonego, o powierzchni 53m2.</w:t>
      </w:r>
    </w:p>
    <w:p w14:paraId="4AC737C5" w14:textId="77777777" w:rsidR="00C34DDD" w:rsidRPr="00962615"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2"/>
    <w:p w14:paraId="6B9302A8" w14:textId="77777777" w:rsidR="00220671" w:rsidRDefault="00220671" w:rsidP="00C27F9F">
      <w:pPr>
        <w:spacing w:line="319" w:lineRule="auto"/>
        <w:jc w:val="both"/>
        <w:rPr>
          <w:rFonts w:asciiTheme="minorHAnsi" w:eastAsia="Times New Roman" w:hAnsiTheme="minorHAnsi" w:cstheme="minorHAnsi"/>
        </w:rPr>
      </w:pPr>
    </w:p>
    <w:p w14:paraId="7A53C48C" w14:textId="77777777" w:rsidR="00EC4BE3" w:rsidRPr="00EC4BE3" w:rsidRDefault="00EC4BE3" w:rsidP="00EC4BE3">
      <w:pPr>
        <w:spacing w:line="240" w:lineRule="auto"/>
        <w:jc w:val="both"/>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CPV: 45111000-8  – Roboty w zakresie burzenia, roboty ziemne</w:t>
      </w:r>
    </w:p>
    <w:p w14:paraId="7AA82BD6" w14:textId="77777777" w:rsidR="00EC4BE3" w:rsidRPr="00EC4BE3" w:rsidRDefault="00EC4BE3" w:rsidP="00EC4BE3">
      <w:pPr>
        <w:spacing w:line="240" w:lineRule="auto"/>
        <w:jc w:val="both"/>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CPV: 45233120-6 – Roboty w zakresie budowy dróg</w:t>
      </w:r>
    </w:p>
    <w:p w14:paraId="20A6B00C" w14:textId="77777777" w:rsidR="00EC4BE3" w:rsidRPr="00EC4BE3" w:rsidRDefault="00EC4BE3" w:rsidP="00EC4BE3">
      <w:pPr>
        <w:spacing w:line="240" w:lineRule="auto"/>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 xml:space="preserve">CPV:45231000-5– Roboty budowlane w zakresie budowy rurociągów, ciągów komunikacyjnych i linii energetycznych </w:t>
      </w:r>
    </w:p>
    <w:p w14:paraId="21C7DCFC" w14:textId="77777777" w:rsidR="00EC4BE3" w:rsidRPr="002D6811" w:rsidRDefault="00EC4BE3" w:rsidP="00857B2A">
      <w:pPr>
        <w:spacing w:line="319" w:lineRule="auto"/>
        <w:jc w:val="both"/>
        <w:rPr>
          <w:rFonts w:asciiTheme="minorHAnsi" w:eastAsia="Times New Roman" w:hAnsiTheme="minorHAnsi" w:cstheme="minorHAnsi"/>
          <w:b/>
        </w:rPr>
      </w:pPr>
    </w:p>
    <w:p w14:paraId="3899AE86" w14:textId="727F896C"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F69085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lastRenderedPageBreak/>
        <w:t xml:space="preserve">Maksymalny okres gwarancji i rękojmi zaoferowany przez Wykonawcę, może wynosić </w:t>
      </w:r>
      <w:r w:rsidR="00C17059">
        <w:rPr>
          <w:rFonts w:asciiTheme="minorHAnsi" w:eastAsia="Times New Roman" w:hAnsiTheme="minorHAnsi" w:cstheme="minorHAnsi"/>
          <w:b/>
          <w:bCs/>
          <w:szCs w:val="24"/>
        </w:rPr>
        <w:t>8</w:t>
      </w:r>
      <w:r w:rsidR="00587233">
        <w:rPr>
          <w:rFonts w:asciiTheme="minorHAnsi" w:eastAsia="Times New Roman" w:hAnsiTheme="minorHAnsi" w:cstheme="minorHAnsi"/>
          <w:b/>
          <w:bCs/>
          <w:szCs w:val="24"/>
        </w:rPr>
        <w:t>4</w:t>
      </w:r>
      <w:r w:rsidRPr="00392D2A">
        <w:rPr>
          <w:rFonts w:asciiTheme="minorHAnsi" w:eastAsia="Times New Roman" w:hAnsiTheme="minorHAnsi" w:cstheme="minorHAnsi"/>
          <w:b/>
          <w:bCs/>
          <w:szCs w:val="24"/>
        </w:rPr>
        <w:t xml:space="preserve"> miesi</w:t>
      </w:r>
      <w:r w:rsidR="00587233">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54505EF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07829567"/>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07829568"/>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F76C1B2"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962615">
        <w:rPr>
          <w:rFonts w:asciiTheme="minorHAnsi" w:hAnsiTheme="minorHAnsi" w:cstheme="minorHAnsi"/>
          <w:b/>
          <w:bCs/>
        </w:rPr>
        <w:t>220</w:t>
      </w:r>
      <w:r w:rsidR="003D56D2">
        <w:rPr>
          <w:rFonts w:asciiTheme="minorHAnsi" w:hAnsiTheme="minorHAnsi" w:cstheme="minorHAnsi"/>
          <w:b/>
          <w:bCs/>
        </w:rPr>
        <w:t xml:space="preserve"> dni</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3F721CC4"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107829569"/>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3578199" w14:textId="4E2C967C" w:rsidR="00CB6C27" w:rsidRPr="000E7830" w:rsidRDefault="009429AE" w:rsidP="00CB6C27">
      <w:pPr>
        <w:pStyle w:val="Akapitzlist"/>
        <w:numPr>
          <w:ilvl w:val="1"/>
          <w:numId w:val="16"/>
        </w:numPr>
        <w:jc w:val="both"/>
        <w:rPr>
          <w:rFonts w:eastAsiaTheme="minorHAnsi" w:cs="Calibri"/>
          <w:b/>
          <w:bCs/>
        </w:rPr>
      </w:pPr>
      <w:bookmarkStart w:id="16" w:name="_Hlk101946125"/>
      <w:bookmarkStart w:id="17" w:name="_Hlk5877927"/>
      <w:bookmarkStart w:id="18" w:name="_Hlk87001286"/>
      <w:bookmarkStart w:id="19" w:name="_Hlk87005844"/>
      <w:r w:rsidRPr="00CB6C27">
        <w:rPr>
          <w:rFonts w:cs="Calibri"/>
        </w:rPr>
        <w:t xml:space="preserve"> </w:t>
      </w:r>
      <w:r w:rsidR="00835CAF" w:rsidRPr="00CB6C27">
        <w:rPr>
          <w:rFonts w:cs="Calibri"/>
        </w:rPr>
        <w:t>Wykonawca spełni warunek jeżeli wykaże, że w okresie ostatnich 5 lat przed upływem terminu składania ofert, a jeżeli okres prowadzenia działalności jest krótszy – w tym okresie</w:t>
      </w:r>
      <w:bookmarkEnd w:id="16"/>
      <w:r w:rsidRPr="00CB6C27">
        <w:rPr>
          <w:rFonts w:cs="Calibri"/>
        </w:rPr>
        <w:t>,</w:t>
      </w:r>
      <w:r w:rsidR="00CB6C27" w:rsidRPr="000E7830">
        <w:rPr>
          <w:b/>
          <w:bCs/>
        </w:rPr>
        <w:t xml:space="preserve"> należycie wykonał </w:t>
      </w:r>
      <w:bookmarkStart w:id="20" w:name="_Hlk26960414"/>
      <w:r w:rsidR="00CB6C27" w:rsidRPr="000E7830">
        <w:rPr>
          <w:b/>
          <w:bCs/>
        </w:rPr>
        <w:t>co najmniej jedną robotę budowlaną</w:t>
      </w:r>
      <w:r w:rsidR="00746F34">
        <w:rPr>
          <w:b/>
          <w:bCs/>
        </w:rPr>
        <w:t xml:space="preserve"> (zrealizowaną w ramach jednej umowy) </w:t>
      </w:r>
      <w:r w:rsidR="00CB6C27" w:rsidRPr="000E7830">
        <w:rPr>
          <w:b/>
          <w:bCs/>
        </w:rPr>
        <w:t xml:space="preserve"> o wartości co najmniej 1.</w:t>
      </w:r>
      <w:r w:rsidR="00CB6C27">
        <w:rPr>
          <w:b/>
          <w:bCs/>
        </w:rPr>
        <w:t>3</w:t>
      </w:r>
      <w:r w:rsidR="00CB6C27" w:rsidRPr="000E7830">
        <w:rPr>
          <w:b/>
          <w:bCs/>
        </w:rPr>
        <w:t>00.000,00 zł brutto, obejmującą co najmniej</w:t>
      </w:r>
      <w:bookmarkEnd w:id="20"/>
      <w:r w:rsidR="00CB6C27" w:rsidRPr="000E7830">
        <w:rPr>
          <w:b/>
          <w:bCs/>
        </w:rPr>
        <w:t xml:space="preserve"> budowę lub przebudowę: drogi lub ciągu pieszego lub chodnika lub pieszo-jezdni o długości min.  </w:t>
      </w:r>
      <w:r w:rsidR="00156AF4">
        <w:rPr>
          <w:b/>
          <w:bCs/>
        </w:rPr>
        <w:t>250</w:t>
      </w:r>
      <w:r w:rsidR="00CB6C27" w:rsidRPr="000E7830">
        <w:rPr>
          <w:b/>
          <w:bCs/>
        </w:rPr>
        <w:t xml:space="preserve"> </w:t>
      </w:r>
      <w:proofErr w:type="spellStart"/>
      <w:r w:rsidR="00CB6C27" w:rsidRPr="000E7830">
        <w:rPr>
          <w:b/>
          <w:bCs/>
        </w:rPr>
        <w:t>mb</w:t>
      </w:r>
      <w:proofErr w:type="spellEnd"/>
      <w:r w:rsidR="00CB6C27" w:rsidRPr="000E7830">
        <w:rPr>
          <w:b/>
          <w:bCs/>
        </w:rPr>
        <w:t xml:space="preserve"> o nawierzchni z kostki brukowej lub masy asfaltowej wraz z budową lub przebudową kanału deszczowego lub sanitarnego o długości min. </w:t>
      </w:r>
      <w:r w:rsidR="00B26D20">
        <w:rPr>
          <w:b/>
          <w:bCs/>
        </w:rPr>
        <w:t>3</w:t>
      </w:r>
      <w:r w:rsidR="00CB6C27" w:rsidRPr="000E7830">
        <w:rPr>
          <w:b/>
          <w:bCs/>
        </w:rPr>
        <w:t xml:space="preserve">00 </w:t>
      </w:r>
      <w:proofErr w:type="spellStart"/>
      <w:r w:rsidR="00CB6C27" w:rsidRPr="000E7830">
        <w:rPr>
          <w:b/>
          <w:bCs/>
        </w:rPr>
        <w:t>mb</w:t>
      </w:r>
      <w:proofErr w:type="spellEnd"/>
      <w:r w:rsidR="00CB6C27" w:rsidRPr="000E7830">
        <w:rPr>
          <w:b/>
          <w:bCs/>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2707E4BA"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w:t>
      </w:r>
      <w:r w:rsidR="00746F34">
        <w:rPr>
          <w:rFonts w:asciiTheme="minorHAnsi" w:eastAsia="Times New Roman" w:hAnsiTheme="minorHAnsi" w:cstheme="minorHAnsi"/>
        </w:rPr>
        <w:t xml:space="preserve"> (umów) </w:t>
      </w:r>
      <w:r w:rsidRPr="00C61848">
        <w:rPr>
          <w:rFonts w:asciiTheme="minorHAnsi" w:eastAsia="Times New Roman" w:hAnsiTheme="minorHAnsi" w:cstheme="minorHAnsi"/>
        </w:rPr>
        <w:t>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1"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77777777" w:rsidR="00866103" w:rsidRPr="00715F38" w:rsidRDefault="00866103" w:rsidP="00866103">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szCs w:val="24"/>
        </w:rPr>
        <w:t xml:space="preserve">- </w:t>
      </w:r>
      <w:r w:rsidRPr="00715F38">
        <w:rPr>
          <w:rFonts w:asciiTheme="minorHAnsi" w:eastAsia="Times New Roman" w:hAnsiTheme="minorHAnsi" w:cstheme="minorHAnsi"/>
          <w:b/>
          <w:szCs w:val="24"/>
        </w:rPr>
        <w:t xml:space="preserve">kierownikiem budowy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w:t>
      </w:r>
      <w:r>
        <w:rPr>
          <w:rFonts w:asciiTheme="minorHAnsi" w:eastAsia="Times New Roman" w:hAnsiTheme="minorHAnsi" w:cstheme="minorHAnsi"/>
          <w:b/>
          <w:szCs w:val="24"/>
        </w:rPr>
        <w:t xml:space="preserve">inżynieryjnej </w:t>
      </w:r>
      <w:r w:rsidRPr="00715F38">
        <w:rPr>
          <w:rFonts w:asciiTheme="minorHAnsi" w:eastAsia="Times New Roman" w:hAnsiTheme="minorHAnsi" w:cstheme="minorHAnsi"/>
          <w:b/>
          <w:szCs w:val="24"/>
        </w:rPr>
        <w:t>drogowej,</w:t>
      </w:r>
    </w:p>
    <w:p w14:paraId="5644418D" w14:textId="61861909" w:rsidR="00866103" w:rsidRPr="004B7160" w:rsidRDefault="00866103" w:rsidP="00866103">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b/>
          <w:szCs w:val="24"/>
        </w:rPr>
        <w:lastRenderedPageBreak/>
        <w:t xml:space="preserve">- kierownikiem robót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instalacyjnej w zakresie sieci, instalacji i urządzeń </w:t>
      </w:r>
      <w:r w:rsidR="00CB6C27">
        <w:rPr>
          <w:rFonts w:asciiTheme="minorHAnsi" w:eastAsia="Times New Roman" w:hAnsiTheme="minorHAnsi" w:cstheme="minorHAnsi"/>
          <w:b/>
          <w:szCs w:val="24"/>
        </w:rPr>
        <w:t>cieplnych, wentylacyjnych, gazowych, wodociągowych i kanalizacyjnych.</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2"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3" w:name="_Toc107829570"/>
      <w:r w:rsidRPr="008870AA">
        <w:rPr>
          <w:rFonts w:asciiTheme="minorHAnsi" w:hAnsiTheme="minorHAnsi" w:cstheme="minorHAnsi"/>
          <w:b/>
          <w:bCs/>
          <w:sz w:val="24"/>
          <w:szCs w:val="24"/>
        </w:rPr>
        <w:t>IX. Podstawy wykluczenia z postępowania</w:t>
      </w:r>
      <w:bookmarkEnd w:id="2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lastRenderedPageBreak/>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w:t>
      </w:r>
      <w:r w:rsidRPr="008870AA">
        <w:rPr>
          <w:rFonts w:asciiTheme="minorHAnsi" w:eastAsia="Times New Roman" w:hAnsiTheme="minorHAnsi" w:cstheme="minorHAnsi"/>
        </w:rPr>
        <w:lastRenderedPageBreak/>
        <w:t xml:space="preserve">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lastRenderedPageBreak/>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5" w:name="_Toc107829572"/>
      <w:r w:rsidRPr="008870AA">
        <w:rPr>
          <w:rFonts w:asciiTheme="minorHAnsi" w:hAnsiTheme="minorHAnsi" w:cstheme="minorHAnsi"/>
          <w:b/>
          <w:bCs/>
          <w:sz w:val="22"/>
          <w:szCs w:val="22"/>
        </w:rPr>
        <w:t>XI. Poleganie na zasobach innych podmiotów</w:t>
      </w:r>
      <w:bookmarkEnd w:id="2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w:t>
      </w:r>
      <w:r w:rsidRPr="008870AA">
        <w:rPr>
          <w:rFonts w:asciiTheme="minorHAnsi" w:hAnsiTheme="minorHAnsi" w:cstheme="minorHAnsi"/>
        </w:rPr>
        <w:lastRenderedPageBreak/>
        <w:t xml:space="preserve">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6" w:name="_Hlk65499459"/>
      <w:r w:rsidRPr="008870AA">
        <w:rPr>
          <w:rFonts w:asciiTheme="minorHAnsi" w:hAnsiTheme="minorHAnsi" w:cstheme="minorHAnsi"/>
        </w:rPr>
        <w:t xml:space="preserve">Wykonawca powołuje się na jego zasoby, </w:t>
      </w:r>
      <w:bookmarkEnd w:id="26"/>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07829573"/>
      <w:r w:rsidRPr="008870AA">
        <w:rPr>
          <w:rFonts w:asciiTheme="minorHAnsi" w:hAnsiTheme="minorHAnsi" w:cstheme="minorHAnsi"/>
          <w:b/>
          <w:bCs/>
          <w:sz w:val="24"/>
          <w:szCs w:val="24"/>
        </w:rPr>
        <w:t>XII. Informacja dla Wykonawców wspólnie ubiegających się o udzielenie zamówienia</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8"/>
    <w:bookmarkEnd w:id="29"/>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07829574"/>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lastRenderedPageBreak/>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07829575"/>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rsidP="00972E16">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7" w:name="_Hlk65238743"/>
      <w:r w:rsidRPr="006506A6">
        <w:rPr>
          <w:rFonts w:asciiTheme="minorHAnsi" w:hAnsiTheme="minorHAnsi" w:cstheme="minorHAnsi"/>
        </w:rPr>
        <w:t xml:space="preserve">oświadczenie o niepodleganiu wykluczeniu składa </w:t>
      </w:r>
      <w:bookmarkEnd w:id="37"/>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Pełnomocnictwa</w:t>
      </w:r>
      <w:r w:rsidRPr="006506A6">
        <w:rPr>
          <w:rFonts w:asciiTheme="minorHAnsi" w:hAnsiTheme="minorHAnsi" w:cstheme="minorHAnsi"/>
        </w:rPr>
        <w:t xml:space="preserve"> upoważniające do złożenia oferty, o ile ofertę składa pełnomocnik.</w:t>
      </w:r>
    </w:p>
    <w:p w14:paraId="144C2AA2" w14:textId="74DE6D0A" w:rsidR="001C0A5A"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4CF59082" w14:textId="77777777" w:rsidR="00746F34" w:rsidRPr="00945D5F" w:rsidRDefault="00746F34" w:rsidP="00746F34">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107829576"/>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lastRenderedPageBreak/>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2"/>
    </w:p>
    <w:bookmarkEnd w:id="41"/>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D38E6E8" w:rsidR="008870AA" w:rsidRDefault="008870AA" w:rsidP="008870AA">
      <w:pPr>
        <w:pStyle w:val="Nagwek2"/>
        <w:spacing w:before="0" w:after="0" w:line="319" w:lineRule="auto"/>
        <w:rPr>
          <w:rFonts w:asciiTheme="minorHAnsi" w:hAnsiTheme="minorHAnsi" w:cstheme="minorHAnsi"/>
          <w:b/>
          <w:bCs/>
          <w:sz w:val="22"/>
          <w:szCs w:val="22"/>
        </w:rPr>
      </w:pPr>
      <w:bookmarkStart w:id="43" w:name="_Toc107829577"/>
      <w:r w:rsidRPr="008870AA">
        <w:rPr>
          <w:rFonts w:asciiTheme="minorHAnsi" w:hAnsiTheme="minorHAnsi" w:cstheme="minorHAnsi"/>
          <w:b/>
          <w:bCs/>
          <w:sz w:val="22"/>
          <w:szCs w:val="22"/>
        </w:rPr>
        <w:lastRenderedPageBreak/>
        <w:t>XVI. Wymagania dotyczące wadium</w:t>
      </w:r>
      <w:bookmarkEnd w:id="43"/>
      <w:r w:rsidR="001F17B1">
        <w:rPr>
          <w:rFonts w:asciiTheme="minorHAnsi" w:hAnsiTheme="minorHAnsi" w:cstheme="minorHAnsi"/>
          <w:b/>
          <w:bCs/>
          <w:sz w:val="22"/>
          <w:szCs w:val="22"/>
        </w:rPr>
        <w:t>.</w:t>
      </w:r>
    </w:p>
    <w:p w14:paraId="7E0C87CF" w14:textId="3C5497A4" w:rsidR="001F17B1" w:rsidRPr="00A258D6" w:rsidRDefault="001F17B1">
      <w:pPr>
        <w:numPr>
          <w:ilvl w:val="3"/>
          <w:numId w:val="4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Pr>
          <w:rFonts w:asciiTheme="majorHAnsi" w:hAnsiTheme="majorHAnsi" w:cstheme="majorHAnsi"/>
          <w:b/>
          <w:bCs/>
        </w:rPr>
        <w:t>25</w:t>
      </w:r>
      <w:r w:rsidRPr="0013799C">
        <w:rPr>
          <w:rFonts w:asciiTheme="majorHAnsi" w:hAnsiTheme="majorHAnsi" w:cstheme="majorHAnsi"/>
          <w:b/>
          <w:bCs/>
        </w:rPr>
        <w:t>.000,00 zł</w:t>
      </w:r>
      <w:r>
        <w:rPr>
          <w:rFonts w:asciiTheme="majorHAnsi" w:hAnsiTheme="majorHAnsi" w:cstheme="majorHAnsi"/>
        </w:rPr>
        <w:t xml:space="preserve"> </w:t>
      </w:r>
    </w:p>
    <w:p w14:paraId="41C31B91" w14:textId="77777777" w:rsidR="001F17B1" w:rsidRPr="00A258D6" w:rsidRDefault="001F17B1">
      <w:pPr>
        <w:numPr>
          <w:ilvl w:val="3"/>
          <w:numId w:val="40"/>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75055DD1" w14:textId="77777777" w:rsidR="001F17B1" w:rsidRPr="00A258D6" w:rsidRDefault="001F17B1">
      <w:pPr>
        <w:numPr>
          <w:ilvl w:val="3"/>
          <w:numId w:val="40"/>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69ED1A74" w14:textId="77777777" w:rsidR="001F17B1" w:rsidRPr="00A258D6" w:rsidRDefault="001F17B1">
      <w:pPr>
        <w:numPr>
          <w:ilvl w:val="1"/>
          <w:numId w:val="39"/>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481CB3F9" w14:textId="77777777" w:rsidR="001F17B1" w:rsidRPr="00A258D6" w:rsidRDefault="001F17B1">
      <w:pPr>
        <w:numPr>
          <w:ilvl w:val="1"/>
          <w:numId w:val="3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10313D83" w14:textId="77777777" w:rsidR="001F17B1" w:rsidRPr="00A258D6" w:rsidRDefault="001F17B1">
      <w:pPr>
        <w:numPr>
          <w:ilvl w:val="1"/>
          <w:numId w:val="3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4C118D33" w14:textId="77777777" w:rsidR="001F17B1" w:rsidRPr="00A258D6" w:rsidRDefault="001F17B1">
      <w:pPr>
        <w:numPr>
          <w:ilvl w:val="1"/>
          <w:numId w:val="39"/>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5862C9B9" w14:textId="58B504FA" w:rsidR="001F17B1" w:rsidRPr="00A258D6" w:rsidRDefault="001F17B1">
      <w:pPr>
        <w:numPr>
          <w:ilvl w:val="3"/>
          <w:numId w:val="40"/>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2</w:t>
      </w:r>
      <w:r>
        <w:rPr>
          <w:rFonts w:asciiTheme="majorHAnsi" w:hAnsiTheme="majorHAnsi" w:cstheme="majorHAnsi"/>
          <w:b/>
          <w:bCs/>
        </w:rPr>
        <w:t>7</w:t>
      </w:r>
      <w:r w:rsidRPr="00A258D6">
        <w:rPr>
          <w:rFonts w:asciiTheme="majorHAnsi" w:hAnsiTheme="majorHAnsi" w:cstheme="majorHAnsi"/>
          <w:b/>
          <w:bCs/>
        </w:rPr>
        <w:t>.2021 –</w:t>
      </w:r>
      <w:r>
        <w:rPr>
          <w:rFonts w:asciiTheme="majorHAnsi" w:hAnsiTheme="majorHAnsi" w:cstheme="majorHAnsi"/>
          <w:b/>
          <w:bCs/>
        </w:rPr>
        <w:t xml:space="preserve"> „</w:t>
      </w:r>
      <w:r>
        <w:rPr>
          <w:rFonts w:asciiTheme="majorHAnsi" w:hAnsiTheme="majorHAnsi" w:cstheme="majorHAnsi"/>
          <w:b/>
          <w:bCs/>
        </w:rPr>
        <w:t>Dopiewo – ul. Wysoka</w:t>
      </w:r>
      <w:r w:rsidRPr="00A258D6">
        <w:rPr>
          <w:rFonts w:asciiTheme="majorHAnsi" w:hAnsiTheme="majorHAnsi" w:cstheme="majorHAnsi"/>
          <w:b/>
          <w:bCs/>
        </w:rPr>
        <w:t>”.</w:t>
      </w:r>
    </w:p>
    <w:p w14:paraId="60E1A322" w14:textId="77777777" w:rsidR="001F17B1" w:rsidRPr="00A258D6" w:rsidRDefault="001F17B1" w:rsidP="001F17B1">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4B3C42E4" w14:textId="77777777" w:rsidR="001F17B1" w:rsidRPr="00A258D6" w:rsidRDefault="001F17B1" w:rsidP="001F17B1">
      <w:pPr>
        <w:spacing w:line="319" w:lineRule="auto"/>
        <w:jc w:val="both"/>
        <w:rPr>
          <w:rFonts w:asciiTheme="majorHAnsi" w:hAnsiTheme="majorHAnsi" w:cstheme="majorHAnsi"/>
          <w:strike/>
        </w:rPr>
      </w:pPr>
    </w:p>
    <w:p w14:paraId="61DF021D"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360F1D8"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792AC71A"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79253644"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239FB86E" w14:textId="77777777" w:rsidR="001F17B1" w:rsidRPr="00A258D6" w:rsidRDefault="001F17B1" w:rsidP="001F17B1">
      <w:pPr>
        <w:spacing w:line="319" w:lineRule="auto"/>
        <w:jc w:val="both"/>
        <w:rPr>
          <w:rFonts w:asciiTheme="majorHAnsi" w:hAnsiTheme="majorHAnsi" w:cstheme="majorHAnsi"/>
          <w:strike/>
        </w:rPr>
      </w:pPr>
      <w:r w:rsidRPr="00A258D6">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17312D3"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6A611B3"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5C01F331"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51DB7FAF"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CBE3117"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i) Zamawiający zwróci wadium wniesione w innej formie niż w pieniądzu poprzez złożenie gwarantowi lub poręczycielowi oświadczenia o zwolnieniu wadium.</w:t>
      </w:r>
    </w:p>
    <w:p w14:paraId="576E3B5C"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3AE829F0" w14:textId="77777777" w:rsidR="001F17B1" w:rsidRPr="00A258D6" w:rsidRDefault="001F17B1" w:rsidP="001F17B1">
      <w:pPr>
        <w:spacing w:line="319" w:lineRule="auto"/>
        <w:jc w:val="both"/>
        <w:rPr>
          <w:rFonts w:asciiTheme="majorHAnsi" w:hAnsiTheme="majorHAnsi" w:cstheme="majorHAnsi"/>
          <w:color w:val="000000" w:themeColor="text1"/>
          <w:highlight w:val="yellow"/>
        </w:rPr>
      </w:pPr>
    </w:p>
    <w:p w14:paraId="779DBD24"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96E0FED" w14:textId="77777777" w:rsidR="001F17B1" w:rsidRPr="00A258D6" w:rsidRDefault="001F17B1" w:rsidP="001F17B1">
      <w:pPr>
        <w:spacing w:line="319" w:lineRule="auto"/>
        <w:jc w:val="both"/>
        <w:rPr>
          <w:rFonts w:asciiTheme="majorHAnsi" w:hAnsiTheme="majorHAnsi" w:cstheme="majorHAnsi"/>
          <w:color w:val="000000" w:themeColor="text1"/>
        </w:rPr>
      </w:pPr>
    </w:p>
    <w:p w14:paraId="0E65EF10" w14:textId="77777777" w:rsidR="001F17B1" w:rsidRPr="00A258D6" w:rsidRDefault="001F17B1" w:rsidP="001F17B1">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0AFF4526" w14:textId="77777777" w:rsidR="001F17B1" w:rsidRPr="001F17B1" w:rsidRDefault="001F17B1" w:rsidP="001F17B1"/>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07829578"/>
      <w:r w:rsidRPr="008870AA">
        <w:rPr>
          <w:rFonts w:asciiTheme="minorHAnsi" w:hAnsiTheme="minorHAnsi" w:cstheme="minorHAnsi"/>
          <w:b/>
          <w:bCs/>
          <w:sz w:val="22"/>
          <w:szCs w:val="22"/>
        </w:rPr>
        <w:t>XVII. Termin związania ofertą</w:t>
      </w:r>
      <w:bookmarkEnd w:id="44"/>
    </w:p>
    <w:p w14:paraId="68E3EA92" w14:textId="7FD40D6F"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132E8A">
        <w:rPr>
          <w:rFonts w:asciiTheme="minorHAnsi" w:hAnsiTheme="minorHAnsi" w:cstheme="minorHAnsi"/>
          <w:b/>
          <w:bCs/>
          <w:highlight w:val="yellow"/>
        </w:rPr>
        <w:t>01</w:t>
      </w:r>
      <w:r w:rsidRPr="008870AA">
        <w:rPr>
          <w:rFonts w:asciiTheme="minorHAnsi" w:hAnsiTheme="minorHAnsi" w:cstheme="minorHAnsi"/>
          <w:b/>
          <w:bCs/>
          <w:highlight w:val="yellow"/>
        </w:rPr>
        <w:t>.</w:t>
      </w:r>
      <w:r w:rsidR="00132E8A">
        <w:rPr>
          <w:rFonts w:asciiTheme="minorHAnsi" w:hAnsiTheme="minorHAnsi" w:cstheme="minorHAnsi"/>
          <w:b/>
          <w:bCs/>
          <w:highlight w:val="yellow"/>
        </w:rPr>
        <w:t>11</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2D3FB85A"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132E8A">
        <w:rPr>
          <w:rFonts w:asciiTheme="minorHAnsi" w:hAnsiTheme="minorHAnsi" w:cstheme="minorHAnsi"/>
          <w:b/>
          <w:bCs/>
          <w:highlight w:val="yellow"/>
        </w:rPr>
        <w:t>03</w:t>
      </w:r>
      <w:r w:rsidRPr="008870AA">
        <w:rPr>
          <w:rFonts w:asciiTheme="minorHAnsi" w:hAnsiTheme="minorHAnsi" w:cstheme="minorHAnsi"/>
          <w:b/>
          <w:bCs/>
          <w:highlight w:val="yellow"/>
        </w:rPr>
        <w:t>.</w:t>
      </w:r>
      <w:r w:rsidR="00132E8A">
        <w:rPr>
          <w:rFonts w:asciiTheme="minorHAnsi" w:hAnsiTheme="minorHAnsi" w:cstheme="minorHAnsi"/>
          <w:b/>
          <w:bCs/>
          <w:highlight w:val="yellow"/>
        </w:rPr>
        <w:t>10</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107829580"/>
      <w:r w:rsidRPr="008870AA">
        <w:rPr>
          <w:rFonts w:asciiTheme="minorHAnsi" w:hAnsiTheme="minorHAnsi" w:cstheme="minorHAnsi"/>
          <w:b/>
          <w:bCs/>
          <w:sz w:val="22"/>
          <w:szCs w:val="22"/>
        </w:rPr>
        <w:t>XIX. Otwarcie ofert</w:t>
      </w:r>
      <w:bookmarkEnd w:id="46"/>
    </w:p>
    <w:p w14:paraId="792AD29B" w14:textId="4205E74F"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132E8A">
        <w:rPr>
          <w:rFonts w:asciiTheme="minorHAnsi" w:hAnsiTheme="minorHAnsi" w:cstheme="minorHAnsi"/>
          <w:b/>
          <w:bCs/>
          <w:highlight w:val="yellow"/>
        </w:rPr>
        <w:t>03</w:t>
      </w:r>
      <w:r w:rsidRPr="00BD054F">
        <w:rPr>
          <w:rFonts w:asciiTheme="minorHAnsi" w:hAnsiTheme="minorHAnsi" w:cstheme="minorHAnsi"/>
          <w:b/>
          <w:bCs/>
          <w:highlight w:val="yellow"/>
        </w:rPr>
        <w:t>.</w:t>
      </w:r>
      <w:r w:rsidR="00132E8A">
        <w:rPr>
          <w:rFonts w:asciiTheme="minorHAnsi" w:hAnsiTheme="minorHAnsi" w:cstheme="minorHAnsi"/>
          <w:b/>
          <w:bCs/>
          <w:highlight w:val="yellow"/>
        </w:rPr>
        <w:t>10</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107829581"/>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lastRenderedPageBreak/>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506759F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07829582"/>
      <w:r w:rsidRPr="008870AA">
        <w:rPr>
          <w:rFonts w:asciiTheme="minorHAnsi" w:hAnsiTheme="minorHAnsi" w:cstheme="minorHAnsi"/>
          <w:b/>
          <w:bCs/>
          <w:sz w:val="22"/>
          <w:szCs w:val="22"/>
        </w:rPr>
        <w:t>XXI. Wymagania dotyczące zabezpieczenia należytego wykonania umowy.</w:t>
      </w:r>
      <w:bookmarkEnd w:id="49"/>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1" w:name="_Toc107829584"/>
      <w:r w:rsidRPr="008870AA">
        <w:rPr>
          <w:rFonts w:asciiTheme="minorHAnsi" w:hAnsiTheme="minorHAnsi" w:cstheme="minorHAnsi"/>
          <w:b/>
          <w:bCs/>
          <w:sz w:val="24"/>
          <w:szCs w:val="24"/>
        </w:rPr>
        <w:t>XXIII. Informacje o treści zawieranej umowy oraz możliwości jej zmiany</w:t>
      </w:r>
      <w:bookmarkEnd w:id="5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07829585"/>
      <w:r w:rsidRPr="008870AA">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107829586"/>
      <w:bookmarkEnd w:id="53"/>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A76" w14:textId="77777777" w:rsidR="008375CE" w:rsidRDefault="008375CE" w:rsidP="008870AA">
      <w:pPr>
        <w:spacing w:line="240" w:lineRule="auto"/>
      </w:pPr>
      <w:r>
        <w:separator/>
      </w:r>
    </w:p>
  </w:endnote>
  <w:endnote w:type="continuationSeparator" w:id="0">
    <w:p w14:paraId="0A76ABDB" w14:textId="77777777" w:rsidR="008375CE" w:rsidRDefault="008375C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31AF" w14:textId="77777777" w:rsidR="008375CE" w:rsidRDefault="008375CE" w:rsidP="008870AA">
      <w:pPr>
        <w:spacing w:line="240" w:lineRule="auto"/>
      </w:pPr>
      <w:r>
        <w:separator/>
      </w:r>
    </w:p>
  </w:footnote>
  <w:footnote w:type="continuationSeparator" w:id="0">
    <w:p w14:paraId="457E41D1" w14:textId="77777777" w:rsidR="008375CE" w:rsidRDefault="008375C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CD87BDB"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119F3">
      <w:rPr>
        <w:rFonts w:asciiTheme="minorHAnsi" w:hAnsiTheme="minorHAnsi" w:cstheme="minorHAnsi"/>
        <w:sz w:val="20"/>
        <w:szCs w:val="20"/>
      </w:rPr>
      <w:t>27</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E335B"/>
    <w:multiLevelType w:val="hybridMultilevel"/>
    <w:tmpl w:val="DAB6E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436C5"/>
    <w:multiLevelType w:val="hybridMultilevel"/>
    <w:tmpl w:val="BB12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0356BE"/>
    <w:multiLevelType w:val="hybridMultilevel"/>
    <w:tmpl w:val="70D2B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80F1BC7"/>
    <w:multiLevelType w:val="hybridMultilevel"/>
    <w:tmpl w:val="AC54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2"/>
  </w:num>
  <w:num w:numId="4" w16cid:durableId="2121146668">
    <w:abstractNumId w:val="39"/>
  </w:num>
  <w:num w:numId="5" w16cid:durableId="2021153379">
    <w:abstractNumId w:val="28"/>
  </w:num>
  <w:num w:numId="6" w16cid:durableId="74474843">
    <w:abstractNumId w:val="38"/>
  </w:num>
  <w:num w:numId="7" w16cid:durableId="378820442">
    <w:abstractNumId w:val="33"/>
  </w:num>
  <w:num w:numId="8" w16cid:durableId="10646345">
    <w:abstractNumId w:val="11"/>
  </w:num>
  <w:num w:numId="9" w16cid:durableId="452795543">
    <w:abstractNumId w:val="8"/>
  </w:num>
  <w:num w:numId="10" w16cid:durableId="1056702684">
    <w:abstractNumId w:val="26"/>
  </w:num>
  <w:num w:numId="11" w16cid:durableId="1452360499">
    <w:abstractNumId w:val="13"/>
  </w:num>
  <w:num w:numId="12" w16cid:durableId="111361321">
    <w:abstractNumId w:val="17"/>
  </w:num>
  <w:num w:numId="13" w16cid:durableId="2896665">
    <w:abstractNumId w:val="31"/>
  </w:num>
  <w:num w:numId="14" w16cid:durableId="1527327384">
    <w:abstractNumId w:val="0"/>
  </w:num>
  <w:num w:numId="15" w16cid:durableId="304244796">
    <w:abstractNumId w:val="32"/>
  </w:num>
  <w:num w:numId="16" w16cid:durableId="658389321">
    <w:abstractNumId w:val="27"/>
  </w:num>
  <w:num w:numId="17" w16cid:durableId="157310783">
    <w:abstractNumId w:val="22"/>
  </w:num>
  <w:num w:numId="18" w16cid:durableId="1423138143">
    <w:abstractNumId w:val="19"/>
  </w:num>
  <w:num w:numId="19" w16cid:durableId="2087876343">
    <w:abstractNumId w:val="35"/>
  </w:num>
  <w:num w:numId="20" w16cid:durableId="231618385">
    <w:abstractNumId w:val="18"/>
  </w:num>
  <w:num w:numId="21" w16cid:durableId="1833983622">
    <w:abstractNumId w:val="20"/>
  </w:num>
  <w:num w:numId="22" w16cid:durableId="1233926928">
    <w:abstractNumId w:val="23"/>
  </w:num>
  <w:num w:numId="23" w16cid:durableId="355271092">
    <w:abstractNumId w:val="25"/>
  </w:num>
  <w:num w:numId="24" w16cid:durableId="1933928054">
    <w:abstractNumId w:val="34"/>
  </w:num>
  <w:num w:numId="25" w16cid:durableId="1524703767">
    <w:abstractNumId w:val="24"/>
  </w:num>
  <w:num w:numId="26" w16cid:durableId="418672938">
    <w:abstractNumId w:val="9"/>
  </w:num>
  <w:num w:numId="27" w16cid:durableId="162278437">
    <w:abstractNumId w:val="10"/>
  </w:num>
  <w:num w:numId="28" w16cid:durableId="1922175906">
    <w:abstractNumId w:val="12"/>
  </w:num>
  <w:num w:numId="29" w16cid:durableId="1276905784">
    <w:abstractNumId w:val="4"/>
  </w:num>
  <w:num w:numId="30" w16cid:durableId="1724212298">
    <w:abstractNumId w:val="21"/>
  </w:num>
  <w:num w:numId="31" w16cid:durableId="991101479">
    <w:abstractNumId w:val="14"/>
  </w:num>
  <w:num w:numId="32" w16cid:durableId="1957367239">
    <w:abstractNumId w:val="30"/>
  </w:num>
  <w:num w:numId="33" w16cid:durableId="951744024">
    <w:abstractNumId w:val="15"/>
  </w:num>
  <w:num w:numId="34" w16cid:durableId="655188542">
    <w:abstractNumId w:val="3"/>
  </w:num>
  <w:num w:numId="35" w16cid:durableId="741413921">
    <w:abstractNumId w:val="29"/>
  </w:num>
  <w:num w:numId="36" w16cid:durableId="1755082503">
    <w:abstractNumId w:val="1"/>
  </w:num>
  <w:num w:numId="37" w16cid:durableId="799736219">
    <w:abstractNumId w:val="37"/>
  </w:num>
  <w:num w:numId="38" w16cid:durableId="1054695604">
    <w:abstractNumId w:val="5"/>
  </w:num>
  <w:num w:numId="39" w16cid:durableId="364064995">
    <w:abstractNumId w:val="7"/>
  </w:num>
  <w:num w:numId="40" w16cid:durableId="113765088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4495A"/>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32E8A"/>
    <w:rsid w:val="00135555"/>
    <w:rsid w:val="001478A7"/>
    <w:rsid w:val="00156328"/>
    <w:rsid w:val="00156AF4"/>
    <w:rsid w:val="001767F9"/>
    <w:rsid w:val="0018210F"/>
    <w:rsid w:val="001A0570"/>
    <w:rsid w:val="001B3328"/>
    <w:rsid w:val="001B7876"/>
    <w:rsid w:val="001C0A5A"/>
    <w:rsid w:val="001F17B1"/>
    <w:rsid w:val="001F2FF1"/>
    <w:rsid w:val="00204865"/>
    <w:rsid w:val="002119F3"/>
    <w:rsid w:val="00220671"/>
    <w:rsid w:val="00230688"/>
    <w:rsid w:val="002331FE"/>
    <w:rsid w:val="00235E15"/>
    <w:rsid w:val="002401B6"/>
    <w:rsid w:val="002411C2"/>
    <w:rsid w:val="00245D88"/>
    <w:rsid w:val="0026506F"/>
    <w:rsid w:val="002864F5"/>
    <w:rsid w:val="002871A3"/>
    <w:rsid w:val="00292820"/>
    <w:rsid w:val="00296A44"/>
    <w:rsid w:val="00297766"/>
    <w:rsid w:val="002D4F56"/>
    <w:rsid w:val="002D6811"/>
    <w:rsid w:val="002E39C4"/>
    <w:rsid w:val="0030371C"/>
    <w:rsid w:val="00304225"/>
    <w:rsid w:val="00311772"/>
    <w:rsid w:val="00311B20"/>
    <w:rsid w:val="00320FE1"/>
    <w:rsid w:val="00323450"/>
    <w:rsid w:val="00336B79"/>
    <w:rsid w:val="00351585"/>
    <w:rsid w:val="00360B09"/>
    <w:rsid w:val="00392D2A"/>
    <w:rsid w:val="00393083"/>
    <w:rsid w:val="003A2033"/>
    <w:rsid w:val="003A65C0"/>
    <w:rsid w:val="003B3F16"/>
    <w:rsid w:val="003B7459"/>
    <w:rsid w:val="003D4692"/>
    <w:rsid w:val="003D56D2"/>
    <w:rsid w:val="003E0CA5"/>
    <w:rsid w:val="003E39FC"/>
    <w:rsid w:val="003E3E74"/>
    <w:rsid w:val="00403F6A"/>
    <w:rsid w:val="00435871"/>
    <w:rsid w:val="0043670B"/>
    <w:rsid w:val="004471EA"/>
    <w:rsid w:val="00481C2E"/>
    <w:rsid w:val="00487D3D"/>
    <w:rsid w:val="00494791"/>
    <w:rsid w:val="004A3292"/>
    <w:rsid w:val="004B091D"/>
    <w:rsid w:val="004B7160"/>
    <w:rsid w:val="004C26A5"/>
    <w:rsid w:val="004C6E37"/>
    <w:rsid w:val="004F7D33"/>
    <w:rsid w:val="00500A00"/>
    <w:rsid w:val="00510FD9"/>
    <w:rsid w:val="00513E17"/>
    <w:rsid w:val="0053564D"/>
    <w:rsid w:val="00544842"/>
    <w:rsid w:val="00545840"/>
    <w:rsid w:val="005641F4"/>
    <w:rsid w:val="00567DD2"/>
    <w:rsid w:val="00587233"/>
    <w:rsid w:val="005950D5"/>
    <w:rsid w:val="00595D00"/>
    <w:rsid w:val="005A014E"/>
    <w:rsid w:val="005A738A"/>
    <w:rsid w:val="005B19AF"/>
    <w:rsid w:val="005C39DE"/>
    <w:rsid w:val="005E1D15"/>
    <w:rsid w:val="005F05D5"/>
    <w:rsid w:val="005F065A"/>
    <w:rsid w:val="005F5E33"/>
    <w:rsid w:val="00607E2D"/>
    <w:rsid w:val="006101ED"/>
    <w:rsid w:val="00625026"/>
    <w:rsid w:val="00626D6B"/>
    <w:rsid w:val="0063784B"/>
    <w:rsid w:val="006506A6"/>
    <w:rsid w:val="006628D2"/>
    <w:rsid w:val="0067157B"/>
    <w:rsid w:val="00680055"/>
    <w:rsid w:val="006939C2"/>
    <w:rsid w:val="006942A8"/>
    <w:rsid w:val="00697C0A"/>
    <w:rsid w:val="006B2602"/>
    <w:rsid w:val="006B6471"/>
    <w:rsid w:val="006E1A4E"/>
    <w:rsid w:val="006E1A86"/>
    <w:rsid w:val="006E2E3E"/>
    <w:rsid w:val="006E7876"/>
    <w:rsid w:val="006F445F"/>
    <w:rsid w:val="006F74B6"/>
    <w:rsid w:val="00701633"/>
    <w:rsid w:val="00703E25"/>
    <w:rsid w:val="00715F38"/>
    <w:rsid w:val="00717272"/>
    <w:rsid w:val="00723DE2"/>
    <w:rsid w:val="007279C9"/>
    <w:rsid w:val="00746F34"/>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375CE"/>
    <w:rsid w:val="00850178"/>
    <w:rsid w:val="00850910"/>
    <w:rsid w:val="008509B7"/>
    <w:rsid w:val="00854EF6"/>
    <w:rsid w:val="00857B2A"/>
    <w:rsid w:val="00866103"/>
    <w:rsid w:val="0087614B"/>
    <w:rsid w:val="00885580"/>
    <w:rsid w:val="0088680C"/>
    <w:rsid w:val="008870AA"/>
    <w:rsid w:val="0089362D"/>
    <w:rsid w:val="00897BB5"/>
    <w:rsid w:val="008A37CD"/>
    <w:rsid w:val="008A7058"/>
    <w:rsid w:val="008E0673"/>
    <w:rsid w:val="008E2A0A"/>
    <w:rsid w:val="008E4316"/>
    <w:rsid w:val="00930D2E"/>
    <w:rsid w:val="00933941"/>
    <w:rsid w:val="009429AE"/>
    <w:rsid w:val="0096065D"/>
    <w:rsid w:val="00960F1B"/>
    <w:rsid w:val="00962615"/>
    <w:rsid w:val="00972E16"/>
    <w:rsid w:val="00987D24"/>
    <w:rsid w:val="009A234A"/>
    <w:rsid w:val="009C66CF"/>
    <w:rsid w:val="009E1A40"/>
    <w:rsid w:val="009F5D8E"/>
    <w:rsid w:val="00A55B7B"/>
    <w:rsid w:val="00A6491C"/>
    <w:rsid w:val="00A65A72"/>
    <w:rsid w:val="00A83A63"/>
    <w:rsid w:val="00A849BC"/>
    <w:rsid w:val="00A913DE"/>
    <w:rsid w:val="00A94A09"/>
    <w:rsid w:val="00AB1B91"/>
    <w:rsid w:val="00AB7F95"/>
    <w:rsid w:val="00AC04F9"/>
    <w:rsid w:val="00AF1F40"/>
    <w:rsid w:val="00AF36E0"/>
    <w:rsid w:val="00AF5291"/>
    <w:rsid w:val="00B009C7"/>
    <w:rsid w:val="00B02E9C"/>
    <w:rsid w:val="00B062F4"/>
    <w:rsid w:val="00B14625"/>
    <w:rsid w:val="00B26D20"/>
    <w:rsid w:val="00B309EE"/>
    <w:rsid w:val="00B32DB1"/>
    <w:rsid w:val="00B42351"/>
    <w:rsid w:val="00B435DA"/>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005FF"/>
    <w:rsid w:val="00C17059"/>
    <w:rsid w:val="00C23C83"/>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4C17"/>
    <w:rsid w:val="00CF3094"/>
    <w:rsid w:val="00D116A6"/>
    <w:rsid w:val="00D11D1D"/>
    <w:rsid w:val="00D32893"/>
    <w:rsid w:val="00D35176"/>
    <w:rsid w:val="00D420DA"/>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9033F"/>
    <w:rsid w:val="00EC4BE3"/>
    <w:rsid w:val="00ED0E75"/>
    <w:rsid w:val="00ED55A0"/>
    <w:rsid w:val="00ED702C"/>
    <w:rsid w:val="00EE0719"/>
    <w:rsid w:val="00EE12EC"/>
    <w:rsid w:val="00EE44B6"/>
    <w:rsid w:val="00EF0373"/>
    <w:rsid w:val="00F01449"/>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28</Pages>
  <Words>11909</Words>
  <Characters>71460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123</cp:revision>
  <cp:lastPrinted>2022-09-16T10:38:00Z</cp:lastPrinted>
  <dcterms:created xsi:type="dcterms:W3CDTF">2021-12-01T12:49:00Z</dcterms:created>
  <dcterms:modified xsi:type="dcterms:W3CDTF">2022-09-16T10:39:00Z</dcterms:modified>
</cp:coreProperties>
</file>