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6B854" w14:textId="77777777" w:rsidR="00F0087D" w:rsidRDefault="00F0087D" w:rsidP="00F0087D">
      <w:pPr>
        <w:jc w:val="center"/>
      </w:pPr>
      <w:r>
        <w:t>OPIS PRZEDMIOTU ZAMÓWIENIA</w:t>
      </w:r>
    </w:p>
    <w:p w14:paraId="328A48A8" w14:textId="77777777" w:rsidR="00F0087D" w:rsidRDefault="00F0087D" w:rsidP="00F0087D">
      <w:pPr>
        <w:jc w:val="center"/>
      </w:pPr>
    </w:p>
    <w:p w14:paraId="7E121C36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b/>
          <w:bCs/>
          <w:sz w:val="16"/>
          <w:szCs w:val="16"/>
        </w:rPr>
      </w:pPr>
      <w:r w:rsidRPr="00816AE6">
        <w:rPr>
          <w:rFonts w:ascii="Century Gothic" w:hAnsi="Century Gothic" w:cs="Arial"/>
          <w:b/>
          <w:bCs/>
          <w:sz w:val="16"/>
          <w:szCs w:val="16"/>
        </w:rPr>
        <w:t>Wymagania ogólne dla telefonów IP:</w:t>
      </w:r>
    </w:p>
    <w:p w14:paraId="17D132E3" w14:textId="77777777" w:rsidR="00F0087D" w:rsidRPr="00816AE6" w:rsidRDefault="00F0087D" w:rsidP="00F00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Urządzenia muszą współpracować z posiadanym przez Zamawiającego systemem telefonii IP Cisco Unified Communicatons Manager (CUCM) w wersji 12.5.</w:t>
      </w:r>
    </w:p>
    <w:p w14:paraId="4F99FE43" w14:textId="77777777" w:rsidR="00F0087D" w:rsidRPr="00816AE6" w:rsidRDefault="00F0087D" w:rsidP="00F00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Urządzenie musi być zarządzane centralnie poprzez system komunikacyjny Zamawiającego w zakresie co najmniej:</w:t>
      </w:r>
    </w:p>
    <w:p w14:paraId="61BC3B56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Pobierania oraz wymiany plików konfiguracyjnych oraz oprogramowania z serwerów komunikacyjnych Zamawiającego</w:t>
      </w:r>
    </w:p>
    <w:p w14:paraId="0D3D3AC5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Obsługi oprogramowania (firmware), które jest podpisany cyfrowo przez producenta oraz pliki konfiguracyjne zaszyfrowane przez serwery komunikacyjne Zamawiającego</w:t>
      </w:r>
    </w:p>
    <w:p w14:paraId="010459F5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Możliwości zdalnej zmiany ustawień urządzenia: numer i opis linii, funkcje przypisane do programowalnych klawiszy funkcyjnych, uprawnienia abonenckie dla danych linii urządzenia, przypisanie do właściwych elementów infrastruktury (bramy i mostki MCU)</w:t>
      </w:r>
    </w:p>
    <w:p w14:paraId="1EFBBCEF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Możliwości zdalnego restartu urządzenia lub grupy urządzeń</w:t>
      </w:r>
    </w:p>
    <w:p w14:paraId="3A8BE7C1" w14:textId="77777777" w:rsidR="00F0087D" w:rsidRPr="00816AE6" w:rsidRDefault="00F0087D" w:rsidP="00F0087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Możliwości dystrybucji certyfikatów dla urządzeń z serwerów komunikacyjnych Zamawiającego</w:t>
      </w:r>
    </w:p>
    <w:p w14:paraId="2446AEAB" w14:textId="77777777" w:rsidR="00F0087D" w:rsidRDefault="00F0087D" w:rsidP="00F008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hanging="357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Musi istnieć możliwość wsparcia zgłoszeń serwisowych dotyczących oferowanych urządzeń bezpośrednio do producenta oprogramowania CUCM.</w:t>
      </w:r>
    </w:p>
    <w:p w14:paraId="46A7A64B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/>
        <w:jc w:val="both"/>
        <w:rPr>
          <w:rFonts w:ascii="Century Gothic" w:hAnsi="Century Gothic" w:cs="Arial"/>
          <w:sz w:val="16"/>
          <w:szCs w:val="16"/>
        </w:rPr>
      </w:pPr>
    </w:p>
    <w:p w14:paraId="2493AAA0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200" w:line="276" w:lineRule="auto"/>
        <w:rPr>
          <w:rFonts w:ascii="Century Gothic" w:hAnsi="Century Gothic" w:cs="Arial"/>
          <w:b/>
          <w:bCs/>
          <w:sz w:val="16"/>
          <w:szCs w:val="16"/>
        </w:rPr>
      </w:pPr>
    </w:p>
    <w:p w14:paraId="50057080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rPr>
          <w:rFonts w:ascii="Century Gothic" w:hAnsi="Century Gothic" w:cs="Arial"/>
          <w:b/>
          <w:bCs/>
          <w:sz w:val="16"/>
          <w:szCs w:val="16"/>
        </w:rPr>
      </w:pPr>
      <w:r w:rsidRPr="00816AE6">
        <w:rPr>
          <w:rFonts w:ascii="Century Gothic" w:hAnsi="Century Gothic" w:cs="Arial"/>
          <w:b/>
          <w:bCs/>
          <w:sz w:val="16"/>
          <w:szCs w:val="16"/>
        </w:rPr>
        <w:t>Telefon IP podstawowy – wymagania dla szt. 1 urządzenia</w:t>
      </w:r>
    </w:p>
    <w:p w14:paraId="7BB9B710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wspierać kodeki audio co najmniej określone przez standardy G.711a, G.711u, G.729ab, G.722 oraz iLBC</w:t>
      </w:r>
    </w:p>
    <w:p w14:paraId="1EB0D57A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2.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monochromatyczny, podświetlany wyświetlacz (minimum 396 x 162 piksele), umożliwiający obsługę urządzenia, odczytywanie informacji i wywoływanie funkcji urządzenia. Wymagana przekątna wyświetlacza co najmniej 3,5 cala.</w:t>
      </w:r>
    </w:p>
    <w:p w14:paraId="00FA7C1F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Urządzenie musi posiadać co najmniej 4 przyciski z podświetleniem LED w trybie tri-color wbudowanym w przycisk, umożliwiające wybór linii oraz obserwację jej stanu (zajętość/dostępność), bądź też obserwację stanu linii innego urządzenia w systemie. </w:t>
      </w:r>
    </w:p>
    <w:p w14:paraId="247859BA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 xml:space="preserve">Urządzenie musi mieć możliwość skonfigurowania co najmniej 4 różnych linii (numerów) telefonicznych. </w:t>
      </w:r>
    </w:p>
    <w:p w14:paraId="3816EB58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co najmniej 4 przyciski umożliwiające obsługę funkcji menu prezentowanych na wyświetlaczu.</w:t>
      </w:r>
    </w:p>
    <w:p w14:paraId="624F6BD7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na bieżąco w czasie trwania rozmowy umożliwiać wyświetlanie lokalnie na jego ekranie, a także zdalnie poprzez przeglądarkę internetową, informacji diagnostycznych o połączeniu (rodzaj kodeka, liczba wysłanych, odebranych i zgubionych pakietów z próbkami głosowymi, zmienność opóźnienia przesyłania tych pakietów), używane dla celów diagnostycznych w przypadku konieczności diagnozowania przez administratorów problemów z jakością transmisji głosu w systemie telekomunikacyjnym.</w:t>
      </w:r>
    </w:p>
    <w:p w14:paraId="1BE90999" w14:textId="77777777" w:rsidR="00F0087D" w:rsidRPr="00816AE6" w:rsidRDefault="00F0087D" w:rsidP="00F008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Urządzenie musi posiadać wbudowany system głośnomówiący (tzw. speakerphone), umożliwiający prowadzenie rozmowy bez podnoszenia słuchawki i działający w trybie full-dupleks.</w:t>
      </w:r>
    </w:p>
    <w:p w14:paraId="5621FB09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7.</w:t>
      </w:r>
      <w:r w:rsidRPr="00816AE6">
        <w:rPr>
          <w:rFonts w:ascii="Century Gothic" w:hAnsi="Century Gothic" w:cs="Helvetica"/>
          <w:sz w:val="16"/>
          <w:szCs w:val="16"/>
        </w:rPr>
        <w:tab/>
        <w:t>Wbudowany głośnik, a także słuchawka i mikrofon urządzenia muszą być gotowe sprzętowo do transmisji głosu w trybie szerokopasmowym (G.722).</w:t>
      </w:r>
    </w:p>
    <w:p w14:paraId="70A87AE8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8.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dedykowane gniazdo do podłączenia zestawu nagłownego. Nie jest dopuszczalne rozwiązanie gdzie zestaw nagłowny dołącza się zamiast albo razem ze słuchawką na tym samym gnieździe.</w:t>
      </w:r>
    </w:p>
    <w:p w14:paraId="0A80130A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9.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obsługiwać funkcję zestawiania i obsługi połączeń poprzez EHS (ang. Electronic Hook Switch) oraz musi posiadać dedykowane gniazdo do podłączenia zestawu nagłownego z obsługą funkcji EHS.</w:t>
      </w:r>
    </w:p>
    <w:p w14:paraId="6E672ABD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lastRenderedPageBreak/>
        <w:t>10.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poniższe dedykowane przyciski funkcyjne:</w:t>
      </w:r>
    </w:p>
    <w:p w14:paraId="06DF9923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listy kontaktów</w:t>
      </w:r>
    </w:p>
    <w:p w14:paraId="4B028C96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ustawień urządzenia</w:t>
      </w:r>
    </w:p>
    <w:p w14:paraId="3BD82B29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funkcji transferu rozmów</w:t>
      </w:r>
    </w:p>
    <w:p w14:paraId="6EFCA779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konferencji</w:t>
      </w:r>
    </w:p>
    <w:p w14:paraId="6DB1B627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zawieszania połączeń</w:t>
      </w:r>
    </w:p>
    <w:p w14:paraId="55A5F745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dostępu do poczty głosowej</w:t>
      </w:r>
    </w:p>
    <w:p w14:paraId="5B0BEAB5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sterujący głośnością</w:t>
      </w:r>
    </w:p>
    <w:p w14:paraId="7337F705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Mute (wyłączenie mikrofonu)</w:t>
      </w:r>
    </w:p>
    <w:p w14:paraId="450C6FC8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trybu Headset (rozmowa przez system nagłowny)</w:t>
      </w:r>
    </w:p>
    <w:p w14:paraId="092913F7" w14:textId="77777777" w:rsidR="00F0087D" w:rsidRPr="00816AE6" w:rsidRDefault="00F0087D" w:rsidP="00F008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przycisk trybu Speaker (rozmowa przez system głośnomówiący)</w:t>
      </w:r>
    </w:p>
    <w:p w14:paraId="07EFA913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11.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dwu-kierunkowy (góra/dół) przycisk nawigacyjny umożliwiający poruszanie się po różnych opcjach menu.</w:t>
      </w:r>
    </w:p>
    <w:p w14:paraId="1035F62D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12.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posiadać wbudowany przełącznik Ethernet, z dwoma portami 10/100/1000 Mbps, jeden w kierunku przełącznika sieciowego, drugi dedykowany do dołączenia PC.</w:t>
      </w:r>
    </w:p>
    <w:p w14:paraId="0131DFA3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13.</w:t>
      </w:r>
      <w:r w:rsidRPr="00816AE6">
        <w:rPr>
          <w:rFonts w:ascii="Century Gothic" w:hAnsi="Century Gothic" w:cs="Helvetica"/>
          <w:sz w:val="16"/>
          <w:szCs w:val="16"/>
        </w:rPr>
        <w:tab/>
        <w:t>Port przełącznika urządzenia w kierunku przełącznika sieciowego musi wspierać trunking 802.1Q celem odseparowania ruchu głosu i ruchu danych.</w:t>
      </w:r>
    </w:p>
    <w:p w14:paraId="715D2809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14.</w:t>
      </w:r>
      <w:r w:rsidRPr="00816AE6">
        <w:rPr>
          <w:rFonts w:ascii="Century Gothic" w:hAnsi="Century Gothic" w:cs="Helvetica"/>
          <w:sz w:val="16"/>
          <w:szCs w:val="16"/>
        </w:rPr>
        <w:tab/>
        <w:t>Transmisja głosu oraz danych z komputera PC dołączonego do urządzenia muszą być przesyłane w dwóch różnych sieciach VLAN</w:t>
      </w:r>
    </w:p>
    <w:p w14:paraId="1DD5C77A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15.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umożliwiać zasilanie go z sieci komputerowej LAN zgodnie ze standardem PoE IEEE oraz z wykorzystaniem lokalnych zasilaczy (transformujących napięcie z sieci 230V).</w:t>
      </w:r>
    </w:p>
    <w:p w14:paraId="2D52490C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16.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być energooszczędne i pracować w klasie 1 IEEE 802.3af (do 3,84W).</w:t>
      </w:r>
    </w:p>
    <w:p w14:paraId="48C90DE7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17.</w:t>
      </w:r>
      <w:r w:rsidRPr="00816AE6">
        <w:rPr>
          <w:rFonts w:ascii="Century Gothic" w:hAnsi="Century Gothic" w:cs="Helvetica"/>
          <w:sz w:val="16"/>
          <w:szCs w:val="16"/>
        </w:rPr>
        <w:tab/>
        <w:t>Menu urządzenia musi być zrealizowane w języku polskim oraz angielskim, przy czym wymagane jest, aby możliwa była zmiana rodzaju języka menu w zależności od ustawień w profilu zalogowanego na nim użytkownika</w:t>
      </w:r>
    </w:p>
    <w:p w14:paraId="642727C4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18.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być wyposażone w podstawkę umożliwiającą ustawienie urządzenia na płaskiej powierzchni w co najmniej dwóch pozycjach</w:t>
      </w:r>
    </w:p>
    <w:p w14:paraId="4D2D63AB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20.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zapewniać wsparcie dla protokołu sterującego SIP</w:t>
      </w:r>
    </w:p>
    <w:p w14:paraId="61556C50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21.</w:t>
      </w:r>
      <w:r w:rsidRPr="00816AE6">
        <w:rPr>
          <w:rFonts w:ascii="Century Gothic" w:hAnsi="Century Gothic" w:cs="Helvetica"/>
          <w:sz w:val="16"/>
          <w:szCs w:val="16"/>
        </w:rPr>
        <w:tab/>
        <w:t xml:space="preserve">W zakresie bezpieczeństwa urządzenie musi pozwalać na: </w:t>
      </w:r>
    </w:p>
    <w:p w14:paraId="2529270F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 xml:space="preserve">zabezpieczenie komunikacji z serwerem sterującym za pomocą TLS </w:t>
      </w:r>
    </w:p>
    <w:p w14:paraId="36CC36CD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zabezpieczenie strumienia audio za pomocą SRTP</w:t>
      </w:r>
    </w:p>
    <w:p w14:paraId="535F33D5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wsparcie autentykacji 802.1X</w:t>
      </w:r>
    </w:p>
    <w:p w14:paraId="065458A9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obsługę certyfikatów cyfrowych</w:t>
      </w:r>
    </w:p>
    <w:p w14:paraId="6CD9FC8C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>obsługę szyfrowanych plików konfiguracyjnych</w:t>
      </w:r>
    </w:p>
    <w:p w14:paraId="01BA66B2" w14:textId="77777777" w:rsidR="00F0087D" w:rsidRPr="00816AE6" w:rsidRDefault="00F0087D" w:rsidP="00F0087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1134"/>
        <w:jc w:val="both"/>
        <w:rPr>
          <w:rFonts w:ascii="Century Gothic" w:hAnsi="Century Gothic" w:cs="Arial"/>
          <w:sz w:val="16"/>
          <w:szCs w:val="16"/>
        </w:rPr>
      </w:pPr>
      <w:r w:rsidRPr="00816AE6">
        <w:rPr>
          <w:rFonts w:ascii="Century Gothic" w:hAnsi="Century Gothic" w:cs="Arial"/>
          <w:sz w:val="16"/>
          <w:szCs w:val="16"/>
        </w:rPr>
        <w:t xml:space="preserve">autentykację oprogramowania urządzenia, </w:t>
      </w:r>
    </w:p>
    <w:p w14:paraId="67027A6D" w14:textId="77777777" w:rsidR="00F0087D" w:rsidRPr="00816AE6" w:rsidRDefault="00F0087D" w:rsidP="00F0087D">
      <w:pPr>
        <w:widowControl w:val="0"/>
        <w:autoSpaceDE w:val="0"/>
        <w:autoSpaceDN w:val="0"/>
        <w:adjustRightInd w:val="0"/>
        <w:spacing w:after="120" w:line="276" w:lineRule="auto"/>
        <w:ind w:left="720" w:hanging="360"/>
        <w:jc w:val="both"/>
        <w:rPr>
          <w:rFonts w:ascii="Century Gothic" w:hAnsi="Century Gothic" w:cs="Helvetica"/>
          <w:sz w:val="16"/>
          <w:szCs w:val="16"/>
        </w:rPr>
      </w:pPr>
      <w:r w:rsidRPr="00816AE6">
        <w:rPr>
          <w:rFonts w:ascii="Century Gothic" w:hAnsi="Century Gothic" w:cs="Helvetica"/>
          <w:sz w:val="16"/>
          <w:szCs w:val="16"/>
        </w:rPr>
        <w:t>22.</w:t>
      </w:r>
      <w:r w:rsidRPr="00816AE6">
        <w:rPr>
          <w:rFonts w:ascii="Century Gothic" w:hAnsi="Century Gothic" w:cs="Helvetica"/>
          <w:sz w:val="16"/>
          <w:szCs w:val="16"/>
        </w:rPr>
        <w:tab/>
        <w:t>Urządzenie musi obsługiwać aplikacje w języku XML.</w:t>
      </w:r>
    </w:p>
    <w:p w14:paraId="0B73A5B5" w14:textId="77777777" w:rsidR="005D3195" w:rsidRDefault="005D3195"/>
    <w:sectPr w:rsidR="005D31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35ED" w14:textId="77777777" w:rsidR="00C15562" w:rsidRDefault="00C15562" w:rsidP="00F0087D">
      <w:pPr>
        <w:spacing w:after="0" w:line="240" w:lineRule="auto"/>
      </w:pPr>
      <w:r>
        <w:separator/>
      </w:r>
    </w:p>
  </w:endnote>
  <w:endnote w:type="continuationSeparator" w:id="0">
    <w:p w14:paraId="4C7911C7" w14:textId="77777777" w:rsidR="00C15562" w:rsidRDefault="00C15562" w:rsidP="00F0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8F1F" w14:textId="77777777" w:rsidR="00C15562" w:rsidRDefault="00C15562" w:rsidP="00F0087D">
      <w:pPr>
        <w:spacing w:after="0" w:line="240" w:lineRule="auto"/>
      </w:pPr>
      <w:r>
        <w:separator/>
      </w:r>
    </w:p>
  </w:footnote>
  <w:footnote w:type="continuationSeparator" w:id="0">
    <w:p w14:paraId="28DA5708" w14:textId="77777777" w:rsidR="00C15562" w:rsidRDefault="00C15562" w:rsidP="00F0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E46"/>
    <w:multiLevelType w:val="hybridMultilevel"/>
    <w:tmpl w:val="C5A849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1952C4E"/>
    <w:multiLevelType w:val="hybridMultilevel"/>
    <w:tmpl w:val="7C2AE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A223D1"/>
    <w:multiLevelType w:val="hybridMultilevel"/>
    <w:tmpl w:val="7EC49054"/>
    <w:lvl w:ilvl="0" w:tplc="42669D1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8020F0"/>
    <w:multiLevelType w:val="hybridMultilevel"/>
    <w:tmpl w:val="7C2AEC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B53C90"/>
    <w:multiLevelType w:val="hybridMultilevel"/>
    <w:tmpl w:val="6F383F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BE45B3"/>
    <w:multiLevelType w:val="hybridMultilevel"/>
    <w:tmpl w:val="C5A849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64F2704F"/>
    <w:multiLevelType w:val="hybridMultilevel"/>
    <w:tmpl w:val="D0F62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0F3D26"/>
    <w:multiLevelType w:val="hybridMultilevel"/>
    <w:tmpl w:val="30E40F0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18B2063"/>
    <w:multiLevelType w:val="hybridMultilevel"/>
    <w:tmpl w:val="C5A849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7DE6274E"/>
    <w:multiLevelType w:val="hybridMultilevel"/>
    <w:tmpl w:val="D0F62B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5481893">
    <w:abstractNumId w:val="6"/>
  </w:num>
  <w:num w:numId="2" w16cid:durableId="1191802311">
    <w:abstractNumId w:val="7"/>
  </w:num>
  <w:num w:numId="3" w16cid:durableId="1278175451">
    <w:abstractNumId w:val="0"/>
  </w:num>
  <w:num w:numId="4" w16cid:durableId="6517529">
    <w:abstractNumId w:val="5"/>
  </w:num>
  <w:num w:numId="5" w16cid:durableId="817759">
    <w:abstractNumId w:val="8"/>
  </w:num>
  <w:num w:numId="6" w16cid:durableId="88042190">
    <w:abstractNumId w:val="9"/>
  </w:num>
  <w:num w:numId="7" w16cid:durableId="974219771">
    <w:abstractNumId w:val="3"/>
  </w:num>
  <w:num w:numId="8" w16cid:durableId="1410542356">
    <w:abstractNumId w:val="1"/>
  </w:num>
  <w:num w:numId="9" w16cid:durableId="680471164">
    <w:abstractNumId w:val="4"/>
  </w:num>
  <w:num w:numId="10" w16cid:durableId="1643851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7D"/>
    <w:rsid w:val="0000003E"/>
    <w:rsid w:val="00032176"/>
    <w:rsid w:val="000673CE"/>
    <w:rsid w:val="001F11E4"/>
    <w:rsid w:val="00477C7C"/>
    <w:rsid w:val="004B62FF"/>
    <w:rsid w:val="0054755B"/>
    <w:rsid w:val="005D3195"/>
    <w:rsid w:val="00893380"/>
    <w:rsid w:val="00941AE9"/>
    <w:rsid w:val="00C15562"/>
    <w:rsid w:val="00EC6533"/>
    <w:rsid w:val="00F0087D"/>
    <w:rsid w:val="00FE5624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4E24A"/>
  <w15:chartTrackingRefBased/>
  <w15:docId w15:val="{C95DFE14-F3B7-43AB-A2D5-E4936833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87D"/>
    <w:pPr>
      <w:spacing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87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87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0087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87D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F0087D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FDB808B-5205-4D05-AE6E-833D7576D2A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4588</Characters>
  <Application>Microsoft Office Word</Application>
  <DocSecurity>0</DocSecurity>
  <Lines>38</Lines>
  <Paragraphs>10</Paragraphs>
  <ScaleCrop>false</ScaleCrop>
  <Company>ARiMR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Mirosław</dc:creator>
  <cp:keywords/>
  <dc:description/>
  <cp:lastModifiedBy>Lara Łukasz</cp:lastModifiedBy>
  <cp:revision>3</cp:revision>
  <dcterms:created xsi:type="dcterms:W3CDTF">2024-07-02T12:39:00Z</dcterms:created>
  <dcterms:modified xsi:type="dcterms:W3CDTF">2024-07-02T12:40:00Z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9d090898-4098-4cf6-894e-2a80d9d7f963</vt:lpwstr>
  </property>
  <property fmtid="{D5CDD505-2E9C-101B-9397-08002B2CF9AE}" pid="3" name="bjClsUserRVM">
    <vt:lpwstr>[]</vt:lpwstr>
  </property>
  <property fmtid="{D5CDD505-2E9C-101B-9397-08002B2CF9AE}" pid="4" name="bjSaver">
    <vt:lpwstr>unXSMNailg/eJmNhtymhMGxmLAi/FD6E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