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15" w:rsidRDefault="008F7F15" w:rsidP="0006365B">
      <w:pPr>
        <w:pStyle w:val="Tekstpodstawowywcity"/>
        <w:ind w:firstLine="0"/>
        <w:jc w:val="center"/>
      </w:pPr>
      <w:r>
        <w:t>Część</w:t>
      </w:r>
      <w:r w:rsidR="000D24C4">
        <w:t xml:space="preserve"> 2</w:t>
      </w:r>
    </w:p>
    <w:p w:rsidR="00E16F0F" w:rsidRDefault="00E16F0F" w:rsidP="0006365B">
      <w:pPr>
        <w:pStyle w:val="Tekstpodstawowywcity"/>
        <w:ind w:firstLine="0"/>
        <w:jc w:val="center"/>
      </w:pPr>
      <w:r>
        <w:t xml:space="preserve">Wymagania graniczne dla testu In vitro do wykrywania antygenu </w:t>
      </w:r>
      <w:r>
        <w:rPr>
          <w:i/>
        </w:rPr>
        <w:t xml:space="preserve">Giardia </w:t>
      </w:r>
      <w:proofErr w:type="spellStart"/>
      <w:r>
        <w:rPr>
          <w:i/>
        </w:rPr>
        <w:t>intestinalis</w:t>
      </w:r>
      <w:proofErr w:type="spellEnd"/>
      <w:r>
        <w:t xml:space="preserve"> w próbkach kału ludzkiego wraz z elementami zużywalnymi</w:t>
      </w:r>
    </w:p>
    <w:p w:rsidR="00E16F0F" w:rsidRDefault="00E16F0F" w:rsidP="00E16F0F">
      <w:pPr>
        <w:pStyle w:val="Tekstpodstawowywcity"/>
        <w:ind w:firstLine="0"/>
        <w:jc w:val="center"/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909"/>
        <w:gridCol w:w="2874"/>
      </w:tblGrid>
      <w:tr w:rsidR="00E16F0F" w:rsidTr="00C458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pStyle w:val="Nagwek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Wymagania graniczne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  <w:rPr>
                <w:b/>
              </w:rPr>
            </w:pPr>
            <w:r>
              <w:rPr>
                <w:b/>
              </w:rPr>
              <w:t>Potwierdzenie spełnienia</w:t>
            </w:r>
          </w:p>
          <w:p w:rsidR="00E16F0F" w:rsidRDefault="00E16F0F">
            <w:pPr>
              <w:jc w:val="center"/>
            </w:pPr>
            <w:r>
              <w:t xml:space="preserve">(należy wpisać </w:t>
            </w:r>
            <w:r>
              <w:br/>
              <w:t>Tak lub Nie)*</w:t>
            </w: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</w:pPr>
            <w:r>
              <w:t>1.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pStyle w:val="Adresodbiorcywlici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Test posiada certyfikat CE IVD (dla diagnostyki </w:t>
            </w:r>
            <w:r>
              <w:rPr>
                <w:i/>
                <w:szCs w:val="24"/>
              </w:rPr>
              <w:t>in vitro</w:t>
            </w:r>
            <w:r>
              <w:rPr>
                <w:szCs w:val="24"/>
              </w:rPr>
              <w:t>).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</w:pPr>
            <w: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pStyle w:val="Adresodbiorcywlici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Test zawiera odczynniki niezbędne do jakościowego oznaczenia antygenu </w:t>
            </w:r>
            <w:proofErr w:type="spellStart"/>
            <w:r>
              <w:rPr>
                <w:i/>
                <w:szCs w:val="24"/>
              </w:rPr>
              <w:t>G.intestinalis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i/>
                <w:szCs w:val="24"/>
              </w:rPr>
              <w:t>G.lamblia</w:t>
            </w:r>
            <w:proofErr w:type="spellEnd"/>
            <w:r>
              <w:rPr>
                <w:szCs w:val="24"/>
              </w:rPr>
              <w:t xml:space="preserve">) w próbkach kału ludzkiego. Wszystkie odczynniki w zestawie gotowe do użycia oprócz buforu płuczącego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</w:pPr>
            <w:r>
              <w:t>3.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pStyle w:val="Adresodbiorcywlicie"/>
              <w:rPr>
                <w:szCs w:val="24"/>
              </w:rPr>
            </w:pPr>
            <w:r>
              <w:rPr>
                <w:szCs w:val="24"/>
              </w:rPr>
              <w:t xml:space="preserve">Test wykorzystuje przeciwciała monoklonalne swoiste dla cyst i </w:t>
            </w:r>
            <w:proofErr w:type="spellStart"/>
            <w:r>
              <w:rPr>
                <w:szCs w:val="24"/>
              </w:rPr>
              <w:t>trofozoitów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G.intestinalis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i/>
                <w:szCs w:val="24"/>
              </w:rPr>
              <w:t>G.lamblia</w:t>
            </w:r>
            <w:proofErr w:type="spellEnd"/>
            <w:r>
              <w:rPr>
                <w:szCs w:val="24"/>
              </w:rPr>
              <w:t xml:space="preserve">)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</w:pPr>
            <w: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pStyle w:val="Adresodbiorcywlici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Test umożliwia wykrycie antygenu </w:t>
            </w:r>
            <w:proofErr w:type="spellStart"/>
            <w:r>
              <w:rPr>
                <w:i/>
                <w:szCs w:val="24"/>
              </w:rPr>
              <w:t>G.intestinalis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i/>
                <w:szCs w:val="24"/>
              </w:rPr>
              <w:t>G.lamblia</w:t>
            </w:r>
            <w:proofErr w:type="spellEnd"/>
            <w:r>
              <w:rPr>
                <w:szCs w:val="24"/>
              </w:rPr>
              <w:t>) zarówno w świeżych (nie mrożonych) oraz up</w:t>
            </w:r>
            <w:r w:rsidR="00C45821">
              <w:rPr>
                <w:szCs w:val="24"/>
              </w:rPr>
              <w:t>rzednio zamrożonych próbkach kał</w:t>
            </w:r>
            <w:r>
              <w:rPr>
                <w:szCs w:val="24"/>
              </w:rPr>
              <w:t>u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</w:pPr>
            <w:r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pStyle w:val="Adresodbiorcywlici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Test zawiera mikropłytkę ELISA z 96 dołkami (celkami) w postaci 12 </w:t>
            </w:r>
            <w:proofErr w:type="spellStart"/>
            <w:r>
              <w:rPr>
                <w:szCs w:val="24"/>
              </w:rPr>
              <w:t>stripów</w:t>
            </w:r>
            <w:proofErr w:type="spellEnd"/>
            <w:r>
              <w:rPr>
                <w:szCs w:val="24"/>
              </w:rPr>
              <w:t xml:space="preserve"> po 8 dołków. Możliwość łamania </w:t>
            </w:r>
            <w:proofErr w:type="spellStart"/>
            <w:r>
              <w:rPr>
                <w:szCs w:val="24"/>
              </w:rPr>
              <w:t>stripów</w:t>
            </w:r>
            <w:proofErr w:type="spellEnd"/>
            <w:r>
              <w:rPr>
                <w:szCs w:val="24"/>
              </w:rPr>
              <w:t xml:space="preserve">.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</w:pPr>
            <w:r>
              <w:t>6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pStyle w:val="Adresodbiorcywlicie"/>
              <w:jc w:val="both"/>
              <w:rPr>
                <w:szCs w:val="24"/>
              </w:rPr>
            </w:pPr>
            <w:r>
              <w:rPr>
                <w:szCs w:val="24"/>
              </w:rPr>
              <w:t>Możliwość wykonania oznaczenia jednorazowo w pojedynczej próbce klinicznej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</w:pPr>
            <w:r>
              <w:t>7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pStyle w:val="Adresodbiorcywlicie"/>
              <w:jc w:val="both"/>
              <w:rPr>
                <w:szCs w:val="24"/>
              </w:rPr>
            </w:pPr>
            <w:r>
              <w:rPr>
                <w:szCs w:val="24"/>
              </w:rPr>
              <w:t>Test zawiera kontrolę dodatnią i ujemną umożliwiających kontrolę prawidłowości przeprowadzenia oznaczenia.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</w:pPr>
            <w:r>
              <w:t>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pStyle w:val="Adresodbiorcywlici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Odczyt absorbcji (OD) wyniku testu przy użyciu czytnika płytek EIA przy długości fali 450 </w:t>
            </w:r>
            <w:proofErr w:type="spellStart"/>
            <w:r>
              <w:rPr>
                <w:szCs w:val="24"/>
              </w:rPr>
              <w:t>nm</w:t>
            </w:r>
            <w:proofErr w:type="spellEnd"/>
            <w:r>
              <w:rPr>
                <w:szCs w:val="24"/>
              </w:rPr>
              <w:t xml:space="preserve"> i/lub fali odniesienia 620 nm.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</w:pPr>
            <w:r>
              <w:t>9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pStyle w:val="Adresodbiorcywlicie"/>
              <w:rPr>
                <w:szCs w:val="24"/>
              </w:rPr>
            </w:pPr>
            <w:r>
              <w:rPr>
                <w:szCs w:val="24"/>
              </w:rPr>
              <w:t xml:space="preserve">Brak reakcji krzyżowych z drobnoustrojami innych gatunków niż: </w:t>
            </w:r>
            <w:proofErr w:type="spellStart"/>
            <w:r>
              <w:rPr>
                <w:i/>
                <w:szCs w:val="24"/>
              </w:rPr>
              <w:t>G.intestinalis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i/>
                <w:szCs w:val="24"/>
              </w:rPr>
              <w:t>G.lamblia</w:t>
            </w:r>
            <w:proofErr w:type="spellEnd"/>
            <w:r>
              <w:rPr>
                <w:szCs w:val="24"/>
              </w:rPr>
              <w:t xml:space="preserve">), m.in.: </w:t>
            </w:r>
            <w:r>
              <w:rPr>
                <w:i/>
                <w:szCs w:val="24"/>
              </w:rPr>
              <w:t xml:space="preserve">Candida </w:t>
            </w:r>
            <w:proofErr w:type="spellStart"/>
            <w:r>
              <w:rPr>
                <w:i/>
                <w:szCs w:val="24"/>
              </w:rPr>
              <w:t>albicans</w:t>
            </w:r>
            <w:proofErr w:type="spellEnd"/>
            <w:r>
              <w:rPr>
                <w:szCs w:val="24"/>
              </w:rPr>
              <w:t xml:space="preserve">, </w:t>
            </w:r>
            <w:r>
              <w:rPr>
                <w:i/>
                <w:szCs w:val="24"/>
              </w:rPr>
              <w:t xml:space="preserve">Salmonella </w:t>
            </w:r>
            <w:proofErr w:type="spellStart"/>
            <w:r>
              <w:rPr>
                <w:i/>
                <w:szCs w:val="24"/>
              </w:rPr>
              <w:t>enteritidis</w:t>
            </w:r>
            <w:proofErr w:type="spellEnd"/>
            <w:r>
              <w:rPr>
                <w:szCs w:val="24"/>
              </w:rPr>
              <w:t>,</w:t>
            </w:r>
          </w:p>
          <w:p w:rsidR="00E16F0F" w:rsidRDefault="00E16F0F">
            <w:pPr>
              <w:pStyle w:val="Adresodbiorcywlicie"/>
              <w:rPr>
                <w:szCs w:val="24"/>
              </w:rPr>
            </w:pPr>
            <w:proofErr w:type="spellStart"/>
            <w:r>
              <w:rPr>
                <w:i/>
                <w:szCs w:val="24"/>
              </w:rPr>
              <w:t>Enterococcus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faecium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i/>
                <w:szCs w:val="24"/>
              </w:rPr>
              <w:t>Shigella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sonnei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i/>
                <w:szCs w:val="24"/>
              </w:rPr>
              <w:t>Entamoeba</w:t>
            </w:r>
            <w:proofErr w:type="spellEnd"/>
            <w:r>
              <w:rPr>
                <w:i/>
                <w:szCs w:val="24"/>
              </w:rPr>
              <w:t xml:space="preserve"> coli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i/>
                <w:szCs w:val="24"/>
              </w:rPr>
              <w:t>Blastocystis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hominis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</w:pPr>
            <w:r>
              <w:t>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pStyle w:val="Adresodbiorcywlicie"/>
              <w:jc w:val="both"/>
              <w:rPr>
                <w:szCs w:val="24"/>
              </w:rPr>
            </w:pPr>
            <w:r>
              <w:t>Czułość testu wynosi 100%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  <w:rPr>
                <w:color w:val="FF0000"/>
              </w:rPr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/>
          <w:p w:rsidR="00E16F0F" w:rsidRDefault="00E16F0F">
            <w:pPr>
              <w:jc w:val="center"/>
            </w:pPr>
            <w:r>
              <w:t>11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both"/>
            </w:pPr>
            <w:r>
              <w:t>Swoistość testu = 99,6% lub wyższa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  <w:rPr>
                <w:color w:val="FF0000"/>
              </w:rPr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</w:pPr>
            <w:r>
              <w:t>12</w:t>
            </w:r>
          </w:p>
          <w:p w:rsidR="00E16F0F" w:rsidRDefault="00E16F0F">
            <w:pPr>
              <w:jc w:val="center"/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both"/>
            </w:pPr>
            <w:r>
              <w:t>Dwie inkubacje w temperaturze pokojowej.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  <w:rPr>
                <w:color w:val="FF0000"/>
              </w:rPr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center"/>
            </w:pPr>
            <w:r>
              <w:t>13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both"/>
            </w:pPr>
            <w:r>
              <w:t>Dwa płukania rozcieńczonym buforem WASH. Możliwość płukania ręcznego oraz automatycznego dołków w mikropłytce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  <w:rPr>
                <w:color w:val="FF0000"/>
              </w:rPr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C45821">
            <w:pPr>
              <w:jc w:val="center"/>
            </w:pPr>
            <w:r>
              <w:t>14</w:t>
            </w:r>
            <w:r w:rsidR="00E16F0F">
              <w:t>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both"/>
            </w:pPr>
            <w:r>
              <w:t>Instrukcja wykonania testu w języku polskim</w:t>
            </w:r>
            <w:r w:rsidR="00BD5364">
              <w:t xml:space="preserve"> i angielskim</w:t>
            </w:r>
            <w:r>
              <w:t xml:space="preserve"> dołączana do każdego opakowania testu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  <w:rPr>
                <w:color w:val="FF0000"/>
              </w:rPr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C45821">
            <w:pPr>
              <w:jc w:val="center"/>
            </w:pPr>
            <w:r>
              <w:t>15.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>
            <w:pPr>
              <w:jc w:val="both"/>
            </w:pPr>
            <w:r>
              <w:t>Certyfikat jakości testu dołączony do każdej serii testu o innym numerze LOT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  <w:rPr>
                <w:color w:val="FF0000"/>
              </w:rPr>
            </w:pPr>
          </w:p>
        </w:tc>
      </w:tr>
      <w:tr w:rsidR="00E16F0F" w:rsidTr="00C45821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C45821">
            <w:pPr>
              <w:jc w:val="center"/>
            </w:pPr>
            <w:r>
              <w:t>16.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0F" w:rsidRDefault="00E16F0F" w:rsidP="009309DA">
            <w:pPr>
              <w:jc w:val="both"/>
            </w:pPr>
            <w:r w:rsidRPr="00303C42">
              <w:t xml:space="preserve">Data ważności testu (zestawu odczynników) minimum </w:t>
            </w:r>
            <w:r w:rsidR="009309DA" w:rsidRPr="00303C42">
              <w:t>6</w:t>
            </w:r>
            <w:r w:rsidRPr="00303C42">
              <w:t xml:space="preserve"> miesięcy </w:t>
            </w:r>
            <w:r>
              <w:t>od daty dostawy.</w:t>
            </w:r>
            <w:bookmarkStart w:id="0" w:name="_GoBack"/>
            <w:bookmarkEnd w:id="0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0F" w:rsidRDefault="00E16F0F">
            <w:pPr>
              <w:jc w:val="center"/>
              <w:rPr>
                <w:color w:val="FF0000"/>
              </w:rPr>
            </w:pPr>
          </w:p>
        </w:tc>
      </w:tr>
    </w:tbl>
    <w:p w:rsidR="00D73160" w:rsidRDefault="00D73160"/>
    <w:sectPr w:rsidR="00D731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01" w:rsidRDefault="00D93901" w:rsidP="00CC25B1">
      <w:r>
        <w:separator/>
      </w:r>
    </w:p>
  </w:endnote>
  <w:endnote w:type="continuationSeparator" w:id="0">
    <w:p w:rsidR="00D93901" w:rsidRDefault="00D93901" w:rsidP="00CC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01" w:rsidRDefault="00D93901" w:rsidP="00CC25B1">
      <w:r>
        <w:separator/>
      </w:r>
    </w:p>
  </w:footnote>
  <w:footnote w:type="continuationSeparator" w:id="0">
    <w:p w:rsidR="00D93901" w:rsidRDefault="00D93901" w:rsidP="00CC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B1" w:rsidRDefault="00CC25B1" w:rsidP="00CC25B1">
    <w:pPr>
      <w:pStyle w:val="Tekstpodstawowywcity"/>
      <w:ind w:firstLine="0"/>
      <w:rPr>
        <w:rFonts w:ascii="Garamond" w:hAnsi="Garamond"/>
        <w:b w:val="0"/>
        <w:bCs w:val="0"/>
        <w:sz w:val="22"/>
        <w:szCs w:val="22"/>
      </w:rPr>
    </w:pPr>
    <w:r>
      <w:rPr>
        <w:rFonts w:ascii="Garamond" w:hAnsi="Garamond"/>
        <w:b w:val="0"/>
        <w:bCs w:val="0"/>
        <w:sz w:val="22"/>
        <w:szCs w:val="22"/>
      </w:rPr>
      <w:t xml:space="preserve">DFP.271.53.2024.BM                                                                                            </w:t>
    </w:r>
    <w:r w:rsidRPr="00D42102">
      <w:rPr>
        <w:rFonts w:ascii="Garamond" w:hAnsi="Garamond"/>
        <w:b w:val="0"/>
        <w:bCs w:val="0"/>
        <w:sz w:val="22"/>
        <w:szCs w:val="22"/>
      </w:rPr>
      <w:t xml:space="preserve">Załącznik nr </w:t>
    </w:r>
    <w:r>
      <w:rPr>
        <w:rFonts w:ascii="Garamond" w:hAnsi="Garamond"/>
        <w:b w:val="0"/>
        <w:bCs w:val="0"/>
        <w:sz w:val="22"/>
        <w:szCs w:val="22"/>
      </w:rPr>
      <w:t>1b do SWZ</w:t>
    </w:r>
  </w:p>
  <w:p w:rsidR="00CC25B1" w:rsidRPr="00D42102" w:rsidRDefault="00CC25B1" w:rsidP="00CC25B1">
    <w:pPr>
      <w:pStyle w:val="Tekstpodstawowywcity"/>
      <w:ind w:firstLine="0"/>
      <w:jc w:val="right"/>
      <w:rPr>
        <w:rFonts w:ascii="Garamond" w:hAnsi="Garamond"/>
        <w:b w:val="0"/>
        <w:bCs w:val="0"/>
        <w:sz w:val="22"/>
        <w:szCs w:val="22"/>
      </w:rPr>
    </w:pPr>
    <w:r>
      <w:rPr>
        <w:rFonts w:ascii="Garamond" w:hAnsi="Garamond"/>
        <w:b w:val="0"/>
        <w:bCs w:val="0"/>
        <w:sz w:val="22"/>
        <w:szCs w:val="22"/>
      </w:rPr>
      <w:t>Załącznik nr …… do umowy</w:t>
    </w:r>
  </w:p>
  <w:p w:rsidR="00CC25B1" w:rsidRDefault="00CC25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0F"/>
    <w:rsid w:val="0006365B"/>
    <w:rsid w:val="000D24C4"/>
    <w:rsid w:val="002E377D"/>
    <w:rsid w:val="00303C42"/>
    <w:rsid w:val="00566483"/>
    <w:rsid w:val="007C64B6"/>
    <w:rsid w:val="008E2D31"/>
    <w:rsid w:val="008F7F15"/>
    <w:rsid w:val="009309DA"/>
    <w:rsid w:val="00BD5364"/>
    <w:rsid w:val="00C45821"/>
    <w:rsid w:val="00C5494F"/>
    <w:rsid w:val="00CC25B1"/>
    <w:rsid w:val="00CC337E"/>
    <w:rsid w:val="00D73160"/>
    <w:rsid w:val="00D93901"/>
    <w:rsid w:val="00E1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B818-72D9-4A55-AC7F-382723C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16F0F"/>
    <w:pPr>
      <w:keepNext/>
      <w:outlineLvl w:val="2"/>
    </w:pPr>
    <w:rPr>
      <w:b/>
      <w:bCs/>
      <w:color w:val="FF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16F0F"/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16F0F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6F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16F0F"/>
    <w:pPr>
      <w:ind w:firstLine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16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dresodbiorcywlicie">
    <w:name w:val="Adres odbiorcy w liście"/>
    <w:basedOn w:val="Normalny"/>
    <w:rsid w:val="00E16F0F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4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8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2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5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2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5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Kłyś</dc:creator>
  <cp:keywords/>
  <dc:description/>
  <cp:lastModifiedBy>Beata Musiał</cp:lastModifiedBy>
  <cp:revision>8</cp:revision>
  <cp:lastPrinted>2024-03-01T10:33:00Z</cp:lastPrinted>
  <dcterms:created xsi:type="dcterms:W3CDTF">2024-03-05T08:01:00Z</dcterms:created>
  <dcterms:modified xsi:type="dcterms:W3CDTF">2024-05-10T07:01:00Z</dcterms:modified>
</cp:coreProperties>
</file>