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D4BD" w14:textId="6541E6D5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ED3958">
        <w:rPr>
          <w:rFonts w:ascii="Arial" w:hAnsi="Arial" w:cs="Arial"/>
          <w:sz w:val="24"/>
          <w:szCs w:val="24"/>
        </w:rPr>
        <w:t>25</w:t>
      </w:r>
      <w:r w:rsidR="0081519A">
        <w:rPr>
          <w:rFonts w:ascii="Arial" w:hAnsi="Arial" w:cs="Arial"/>
          <w:sz w:val="24"/>
          <w:szCs w:val="24"/>
        </w:rPr>
        <w:t>.</w:t>
      </w:r>
      <w:r w:rsidR="00ED3958">
        <w:rPr>
          <w:rFonts w:ascii="Arial" w:hAnsi="Arial" w:cs="Arial"/>
          <w:sz w:val="24"/>
          <w:szCs w:val="24"/>
        </w:rPr>
        <w:t>11</w:t>
      </w:r>
      <w:r w:rsidR="00100F8C">
        <w:rPr>
          <w:rFonts w:ascii="Arial" w:hAnsi="Arial" w:cs="Arial"/>
          <w:sz w:val="24"/>
          <w:szCs w:val="24"/>
        </w:rPr>
        <w:t>.202</w:t>
      </w:r>
      <w:r w:rsidR="000D1C9E">
        <w:rPr>
          <w:rFonts w:ascii="Arial" w:hAnsi="Arial" w:cs="Arial"/>
          <w:sz w:val="24"/>
          <w:szCs w:val="24"/>
        </w:rPr>
        <w:t>4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65584C84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Zn.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spr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.: SA.270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B79C3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7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0D1C9E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6529D8A7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</w:t>
      </w:r>
      <w:proofErr w:type="spellStart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. Dz. U. z 202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320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którego przedmiotem 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005F988A" w:rsidR="00854F0C" w:rsidRPr="00854F0C" w:rsidRDefault="00854F0C" w:rsidP="00AA3089">
      <w:pPr>
        <w:spacing w:after="189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Hlk177119727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bookmarkStart w:id="1" w:name="_Hlk183177646"/>
      <w:r w:rsidR="00ED3958">
        <w:rPr>
          <w:rFonts w:ascii="Arial" w:eastAsia="Arial" w:hAnsi="Arial" w:cs="Arial"/>
          <w:b/>
          <w:i/>
          <w:color w:val="000000"/>
          <w:sz w:val="24"/>
          <w:lang w:eastAsia="pl-PL"/>
        </w:rPr>
        <w:t>Opalanie budynku biurowego siedziby Nadleśnictwa Zaporowo, obsługa kotła C.O.</w:t>
      </w:r>
      <w:bookmarkEnd w:id="1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bookmarkEnd w:id="0"/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644C6B42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Przedmiotem zamówienia jest 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 xml:space="preserve">opalanie budynku biurowego siedziby Nadleśnictwa zaporowo i obsługa kotła C.O., zakres prac do wykonania stanowi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załącznik nr 3 do zapytania ofertowego.  </w:t>
      </w:r>
    </w:p>
    <w:p w14:paraId="2452239A" w14:textId="375CB5CE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31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3FB4B8BF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Oferta powinna zawierać: całkowity koszt realizacji zamówienia w kwocie netto oraz brutto w złotówkach</w:t>
      </w:r>
      <w:r w:rsidR="00FD25F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0D56A2C3" w14:textId="239082FA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06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1377EC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534D8419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06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8F5839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498431B4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20728217" w:rsidR="00854F0C" w:rsidRPr="00854F0C" w:rsidRDefault="00ED3958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100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16E00004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Za najkorzystniejszą uznana zostanie oferta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 xml:space="preserve"> z najniższą ceną.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6F60CEF7" w14:textId="27477F79" w:rsidR="00854F0C" w:rsidRPr="00FD25FC" w:rsidRDefault="00854F0C" w:rsidP="00FD25F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 </w:t>
      </w:r>
      <w:r w:rsidRPr="00FD25F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5BAD3AB0" w14:textId="4076DD39" w:rsidR="00854F0C" w:rsidRPr="00627942" w:rsidRDefault="00854F0C" w:rsidP="00627942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  <w:r w:rsidRPr="006279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2EA65CEF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13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01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marca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Posłajko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Pani/Pana dane osobowe przetwarzane będą na podstawie art. 6 ust. 1 lit. b i c </w:t>
      </w:r>
    </w:p>
    <w:p w14:paraId="3F2D3814" w14:textId="725F6837" w:rsidR="00CA7275" w:rsidRPr="00854F0C" w:rsidRDefault="00854F0C" w:rsidP="00CA7275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7214E2">
        <w:rPr>
          <w:rFonts w:ascii="Arial" w:eastAsia="Arial" w:hAnsi="Arial" w:cs="Arial"/>
          <w:b/>
          <w:i/>
          <w:color w:val="000000"/>
          <w:sz w:val="24"/>
          <w:lang w:eastAsia="pl-PL"/>
        </w:rPr>
        <w:t>Opalanie budynku biurowego siedziby Nadleśnictwa Zaporowo, obsługa kotła C.O.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1B59D5D0" w14:textId="491F201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. Dz. U. z 202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1320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dalej „ustawa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”, bez stosowania ustawy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377369F8" w14:textId="0B8CFE22" w:rsidR="00CA7275" w:rsidRPr="00CA7275" w:rsidRDefault="00854F0C" w:rsidP="00CA7275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="0042518A" w:rsidRPr="0042518A">
        <w:rPr>
          <w:rFonts w:ascii="Arial" w:eastAsia="Arial" w:hAnsi="Arial" w:cs="Arial"/>
          <w:b/>
          <w:bCs/>
          <w:color w:val="000000"/>
          <w:sz w:val="24"/>
          <w:lang w:eastAsia="pl-PL"/>
        </w:rPr>
        <w:t>,,</w:t>
      </w:r>
      <w:r w:rsidR="0042518A">
        <w:rPr>
          <w:rFonts w:ascii="Arial" w:eastAsia="Arial" w:hAnsi="Arial" w:cs="Arial"/>
          <w:b/>
          <w:i/>
          <w:color w:val="000000"/>
          <w:sz w:val="24"/>
          <w:lang w:eastAsia="pl-PL"/>
        </w:rPr>
        <w:t>Opalanie budynku biurowego siedziby Nadleśnictwa Zaporowo, obsługa kotła C.O.</w:t>
      </w:r>
      <w:r w:rsidR="0042518A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„"</w:t>
      </w:r>
    </w:p>
    <w:p w14:paraId="07B8FAD7" w14:textId="61B50D82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Formularz ofertowy, </w:t>
      </w:r>
    </w:p>
    <w:p w14:paraId="2E65BA14" w14:textId="77777777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Wzór umowy. </w:t>
      </w:r>
    </w:p>
    <w:p w14:paraId="0FA04D70" w14:textId="4933F924" w:rsidR="00854F0C" w:rsidRPr="00854F0C" w:rsidRDefault="007214E2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Zakres prac do wykonania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47173"/>
    <w:rsid w:val="000603ED"/>
    <w:rsid w:val="000B7B48"/>
    <w:rsid w:val="000D1C9E"/>
    <w:rsid w:val="00100F8C"/>
    <w:rsid w:val="001239F7"/>
    <w:rsid w:val="001377EC"/>
    <w:rsid w:val="001912CC"/>
    <w:rsid w:val="00220CFD"/>
    <w:rsid w:val="0025102C"/>
    <w:rsid w:val="00375CFF"/>
    <w:rsid w:val="004033E3"/>
    <w:rsid w:val="0042518A"/>
    <w:rsid w:val="004B4E16"/>
    <w:rsid w:val="00532128"/>
    <w:rsid w:val="00551071"/>
    <w:rsid w:val="0061585B"/>
    <w:rsid w:val="00627942"/>
    <w:rsid w:val="00690D5E"/>
    <w:rsid w:val="007214E2"/>
    <w:rsid w:val="00756D78"/>
    <w:rsid w:val="0081519A"/>
    <w:rsid w:val="00854F0C"/>
    <w:rsid w:val="008F5839"/>
    <w:rsid w:val="00A24B89"/>
    <w:rsid w:val="00AA3089"/>
    <w:rsid w:val="00AE1467"/>
    <w:rsid w:val="00B26FA8"/>
    <w:rsid w:val="00B423A8"/>
    <w:rsid w:val="00BA61D5"/>
    <w:rsid w:val="00BD25BE"/>
    <w:rsid w:val="00C0215F"/>
    <w:rsid w:val="00C23380"/>
    <w:rsid w:val="00C9765F"/>
    <w:rsid w:val="00CA7275"/>
    <w:rsid w:val="00CF5885"/>
    <w:rsid w:val="00DB57A9"/>
    <w:rsid w:val="00DC679A"/>
    <w:rsid w:val="00EB79C3"/>
    <w:rsid w:val="00EC13D8"/>
    <w:rsid w:val="00ED3958"/>
    <w:rsid w:val="00F23AB3"/>
    <w:rsid w:val="00F755B6"/>
    <w:rsid w:val="00F766CC"/>
    <w:rsid w:val="00FD25FC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28</cp:revision>
  <dcterms:created xsi:type="dcterms:W3CDTF">2022-11-30T08:15:00Z</dcterms:created>
  <dcterms:modified xsi:type="dcterms:W3CDTF">2024-11-22T13:32:00Z</dcterms:modified>
</cp:coreProperties>
</file>