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45E440E9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</w:t>
      </w:r>
      <w:r w:rsidR="00CB643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7 Węglówka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E7BB9" w14:textId="77777777" w:rsidR="00C21723" w:rsidRDefault="00C21723" w:rsidP="00837D05">
      <w:r>
        <w:separator/>
      </w:r>
    </w:p>
  </w:endnote>
  <w:endnote w:type="continuationSeparator" w:id="0">
    <w:p w14:paraId="330702B6" w14:textId="77777777" w:rsidR="00C21723" w:rsidRDefault="00C2172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380CE5CB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CB6438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A13A7" w14:textId="77777777" w:rsidR="00C21723" w:rsidRDefault="00C21723" w:rsidP="00837D05">
      <w:r>
        <w:separator/>
      </w:r>
    </w:p>
  </w:footnote>
  <w:footnote w:type="continuationSeparator" w:id="0">
    <w:p w14:paraId="167E3CBE" w14:textId="77777777" w:rsidR="00C21723" w:rsidRDefault="00C21723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2F7787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46328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1723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438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F5E7-627B-46AC-8B4F-F3C6F7B23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2024-11-07T12:14:00Z</dcterms:modified>
</cp:coreProperties>
</file>