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295" w:type="dxa"/>
        <w:tblLook w:val="04A0" w:firstRow="1" w:lastRow="0" w:firstColumn="1" w:lastColumn="0" w:noHBand="0" w:noVBand="1"/>
      </w:tblPr>
      <w:tblGrid>
        <w:gridCol w:w="1101"/>
        <w:gridCol w:w="1417"/>
        <w:gridCol w:w="4812"/>
        <w:gridCol w:w="1965"/>
      </w:tblGrid>
      <w:tr w:rsidR="005E56E0" w:rsidRPr="00327ED6" w:rsidTr="00327ED6">
        <w:tc>
          <w:tcPr>
            <w:tcW w:w="9295" w:type="dxa"/>
            <w:gridSpan w:val="4"/>
            <w:shd w:val="clear" w:color="auto" w:fill="auto"/>
            <w:vAlign w:val="center"/>
          </w:tcPr>
          <w:p w:rsidR="005E56E0" w:rsidRPr="00327ED6" w:rsidRDefault="008D30BB">
            <w:pPr>
              <w:spacing w:after="12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27ED6">
              <w:rPr>
                <w:rFonts w:ascii="Calibri" w:hAnsi="Calibri" w:cs="Calibri"/>
                <w:b/>
                <w:sz w:val="28"/>
                <w:szCs w:val="28"/>
              </w:rPr>
              <w:t>OCENA JAKOŚCI</w:t>
            </w:r>
          </w:p>
          <w:p w:rsidR="005E56E0" w:rsidRPr="00327ED6" w:rsidRDefault="008D30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ED6">
              <w:rPr>
                <w:rFonts w:ascii="Calibri" w:hAnsi="Calibri" w:cs="Calibri"/>
                <w:sz w:val="24"/>
                <w:szCs w:val="24"/>
              </w:rPr>
              <w:t xml:space="preserve">Złożone przez Wykonawcę wraz z ofertą próbki poddane zostaną ocenie jakości na podstawie n/w </w:t>
            </w:r>
            <w:proofErr w:type="spellStart"/>
            <w:r w:rsidRPr="00327ED6">
              <w:rPr>
                <w:rFonts w:ascii="Calibri" w:hAnsi="Calibri" w:cs="Calibri"/>
                <w:sz w:val="24"/>
                <w:szCs w:val="24"/>
              </w:rPr>
              <w:t>podkryteriów</w:t>
            </w:r>
            <w:proofErr w:type="spellEnd"/>
            <w:r w:rsidRPr="00327ED6">
              <w:rPr>
                <w:rFonts w:ascii="Calibri" w:hAnsi="Calibri" w:cs="Calibri"/>
                <w:sz w:val="24"/>
                <w:szCs w:val="24"/>
              </w:rPr>
              <w:t>:</w:t>
            </w:r>
            <w:r w:rsidRPr="00327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56E0" w:rsidRPr="00327ED6" w:rsidTr="00327ED6">
        <w:tc>
          <w:tcPr>
            <w:tcW w:w="1101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27ED6">
              <w:rPr>
                <w:rFonts w:ascii="Calibri" w:hAnsi="Calibri" w:cs="Calibri"/>
                <w:b/>
              </w:rPr>
              <w:t>Zadanie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27ED6">
              <w:rPr>
                <w:rFonts w:ascii="Calibri" w:hAnsi="Calibri" w:cs="Calibri"/>
                <w:b/>
              </w:rPr>
              <w:t>Pozycja           w załączniku          do umowy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327ED6">
              <w:rPr>
                <w:rFonts w:ascii="Calibri" w:hAnsi="Calibri" w:cs="Calibri"/>
                <w:b/>
              </w:rPr>
              <w:t>Podkryteria</w:t>
            </w:r>
            <w:proofErr w:type="spellEnd"/>
            <w:r w:rsidRPr="00327ED6">
              <w:rPr>
                <w:rFonts w:ascii="Calibri" w:hAnsi="Calibri" w:cs="Calibri"/>
                <w:b/>
              </w:rPr>
              <w:t xml:space="preserve"> podlegające ocenie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27ED6">
              <w:rPr>
                <w:rFonts w:ascii="Calibri" w:hAnsi="Calibri" w:cs="Calibri"/>
                <w:b/>
              </w:rPr>
              <w:t>Punktacja</w:t>
            </w:r>
          </w:p>
        </w:tc>
      </w:tr>
      <w:tr w:rsidR="005E56E0" w:rsidRPr="00327ED6" w:rsidTr="00327ED6">
        <w:trPr>
          <w:trHeight w:val="5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327ED6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327ED6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327ED6">
              <w:rPr>
                <w:rFonts w:ascii="Calibri" w:hAnsi="Calibri" w:cs="Calibri"/>
                <w:color w:val="000000" w:themeColor="text1"/>
              </w:rPr>
              <w:t xml:space="preserve">Łatwość otwierania zestawu z opakowania - rozklejenie opakowania na jego </w:t>
            </w:r>
            <w:proofErr w:type="spellStart"/>
            <w:r w:rsidRPr="00327ED6">
              <w:rPr>
                <w:rFonts w:ascii="Calibri" w:hAnsi="Calibri" w:cs="Calibri"/>
                <w:color w:val="000000" w:themeColor="text1"/>
              </w:rPr>
              <w:t>zgrzewie</w:t>
            </w:r>
            <w:proofErr w:type="spellEnd"/>
            <w:r w:rsidRPr="00327ED6">
              <w:rPr>
                <w:rFonts w:ascii="Calibri" w:hAnsi="Calibri" w:cs="Calibri"/>
                <w:color w:val="000000" w:themeColor="text1"/>
              </w:rPr>
              <w:t xml:space="preserve"> poprzez jedno pociągnięcie.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  <w:bookmarkStart w:id="0" w:name="_GoBack"/>
        <w:bookmarkEnd w:id="0"/>
      </w:tr>
      <w:tr w:rsidR="005E56E0" w:rsidRPr="00327ED6" w:rsidTr="00327ED6">
        <w:trPr>
          <w:trHeight w:val="48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327ED6">
              <w:rPr>
                <w:rFonts w:ascii="Calibri" w:hAnsi="Calibri" w:cs="Calibri"/>
                <w:color w:val="000000" w:themeColor="text1"/>
              </w:rPr>
              <w:t>Łatwość otwierania zgodnie z zasadami aseptyki.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rPr>
          <w:trHeight w:val="48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327ED6">
              <w:rPr>
                <w:rFonts w:ascii="Calibri" w:hAnsi="Calibri" w:cs="Calibri"/>
                <w:color w:val="000000" w:themeColor="text1"/>
              </w:rPr>
              <w:t>Ułożenie elementów zestawu wewnątrz zestawu warstwowo chronologicznie.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rPr>
          <w:trHeight w:val="48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327ED6">
              <w:rPr>
                <w:rFonts w:ascii="Calibri" w:hAnsi="Calibri" w:cs="Calibri"/>
                <w:color w:val="000000" w:themeColor="text1"/>
              </w:rPr>
              <w:t xml:space="preserve">Chłonność </w:t>
            </w:r>
            <w:proofErr w:type="spellStart"/>
            <w:r w:rsidRPr="00327ED6">
              <w:rPr>
                <w:rFonts w:ascii="Calibri" w:hAnsi="Calibri" w:cs="Calibri"/>
                <w:color w:val="000000" w:themeColor="text1"/>
              </w:rPr>
              <w:t>tupferów</w:t>
            </w:r>
            <w:proofErr w:type="spellEnd"/>
            <w:r w:rsidRPr="00327ED6">
              <w:rPr>
                <w:rFonts w:ascii="Calibri" w:hAnsi="Calibri" w:cs="Calibri"/>
                <w:color w:val="000000" w:themeColor="text1"/>
              </w:rPr>
              <w:t xml:space="preserve"> (wsiąkanie płynu szybko, bez skapywania, wyciekania nadmiaru płynu).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rPr>
          <w:trHeight w:val="48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327ED6">
              <w:rPr>
                <w:rFonts w:ascii="Calibri" w:hAnsi="Calibri" w:cs="Calibri"/>
                <w:color w:val="000000" w:themeColor="text1"/>
              </w:rPr>
              <w:t>Chłonność kompresów (wsiąkanie płynu szybko, bez skapywania, wyciekania nadmiaru płynu).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rPr>
          <w:trHeight w:val="48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327ED6">
              <w:rPr>
                <w:rFonts w:ascii="Calibri" w:hAnsi="Calibri" w:cs="Calibri"/>
                <w:color w:val="000000" w:themeColor="text1"/>
              </w:rPr>
              <w:t>Gładkość narzędzi plastikowych (brak zadziorów).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rPr>
          <w:trHeight w:val="48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327ED6">
              <w:rPr>
                <w:rFonts w:ascii="Calibri" w:hAnsi="Calibri" w:cs="Calibri"/>
                <w:color w:val="000000" w:themeColor="text1"/>
              </w:rPr>
              <w:t xml:space="preserve">Skuteczne działanie zamka zatrzaskowego w kleszczykach plastikowych powodujące nie wypadanie </w:t>
            </w:r>
            <w:proofErr w:type="spellStart"/>
            <w:r w:rsidRPr="00327ED6">
              <w:rPr>
                <w:rFonts w:ascii="Calibri" w:hAnsi="Calibri" w:cs="Calibri"/>
                <w:color w:val="000000" w:themeColor="text1"/>
              </w:rPr>
              <w:t>tupfera</w:t>
            </w:r>
            <w:proofErr w:type="spellEnd"/>
            <w:r w:rsidRPr="00327ED6">
              <w:rPr>
                <w:rFonts w:ascii="Calibri" w:hAnsi="Calibri" w:cs="Calibri"/>
                <w:color w:val="000000" w:themeColor="text1"/>
              </w:rPr>
              <w:t xml:space="preserve"> podczas dezynfekcji.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rPr>
          <w:trHeight w:val="297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327ED6">
              <w:rPr>
                <w:rFonts w:ascii="Calibri" w:hAnsi="Calibri" w:cs="Calibri"/>
                <w:color w:val="000000" w:themeColor="text1"/>
              </w:rPr>
              <w:t>Czytelność etykiet.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rPr>
          <w:trHeight w:val="30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327ED6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327ED6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327ED6">
              <w:rPr>
                <w:rFonts w:cstheme="minorHAnsi"/>
                <w:color w:val="000000" w:themeColor="text1"/>
              </w:rPr>
              <w:t xml:space="preserve">Łatwość otwierania zestawu z opakowania - rozklejenie opakowania na jego </w:t>
            </w:r>
            <w:proofErr w:type="spellStart"/>
            <w:r w:rsidRPr="00327ED6">
              <w:rPr>
                <w:rFonts w:cstheme="minorHAnsi"/>
                <w:color w:val="000000" w:themeColor="text1"/>
              </w:rPr>
              <w:t>zgrzewie</w:t>
            </w:r>
            <w:proofErr w:type="spellEnd"/>
            <w:r w:rsidRPr="00327ED6">
              <w:rPr>
                <w:rFonts w:cstheme="minorHAnsi"/>
                <w:color w:val="000000" w:themeColor="text1"/>
              </w:rPr>
              <w:t xml:space="preserve"> poprzez jedno pociągnięcie.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cstheme="minorHAnsi"/>
              </w:rPr>
            </w:pPr>
            <w:r w:rsidRPr="00327ED6">
              <w:rPr>
                <w:rFonts w:cstheme="minorHAns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cstheme="minorHAnsi"/>
              </w:rPr>
            </w:pPr>
            <w:r w:rsidRPr="00327ED6">
              <w:rPr>
                <w:rFonts w:cstheme="minorHAnsi"/>
              </w:rPr>
              <w:t>NIE = 0 pkt</w:t>
            </w:r>
          </w:p>
        </w:tc>
      </w:tr>
      <w:tr w:rsidR="005E56E0" w:rsidRPr="00327ED6" w:rsidTr="00327ED6">
        <w:trPr>
          <w:trHeight w:val="24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327ED6">
              <w:rPr>
                <w:rFonts w:cstheme="minorHAnsi"/>
                <w:color w:val="000000" w:themeColor="text1"/>
              </w:rPr>
              <w:t>Łatwość otwierania zgodnie z zasadami aseptyki.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cstheme="minorHAnsi"/>
              </w:rPr>
            </w:pPr>
            <w:r w:rsidRPr="00327ED6">
              <w:rPr>
                <w:rFonts w:cstheme="minorHAns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cstheme="minorHAnsi"/>
              </w:rPr>
            </w:pPr>
            <w:r w:rsidRPr="00327ED6">
              <w:rPr>
                <w:rFonts w:cstheme="minorHAnsi"/>
              </w:rPr>
              <w:t>NIE = 0 pkt</w:t>
            </w:r>
          </w:p>
        </w:tc>
      </w:tr>
      <w:tr w:rsidR="005E56E0" w:rsidRPr="00327ED6" w:rsidTr="00327ED6">
        <w:trPr>
          <w:trHeight w:val="24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327ED6">
              <w:rPr>
                <w:rFonts w:cstheme="minorHAnsi"/>
                <w:color w:val="000000" w:themeColor="text1"/>
              </w:rPr>
              <w:t>Ułożenie elementów zestawu wewnątrz zestawu warstwowo chronologicznie.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cstheme="minorHAnsi"/>
              </w:rPr>
            </w:pPr>
            <w:r w:rsidRPr="00327ED6">
              <w:rPr>
                <w:rFonts w:cstheme="minorHAns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cstheme="minorHAnsi"/>
              </w:rPr>
            </w:pPr>
            <w:r w:rsidRPr="00327ED6">
              <w:rPr>
                <w:rFonts w:cstheme="minorHAnsi"/>
              </w:rPr>
              <w:t>NIE = 0 pkt</w:t>
            </w:r>
          </w:p>
        </w:tc>
      </w:tr>
      <w:tr w:rsidR="005E56E0" w:rsidRPr="00327ED6" w:rsidTr="00327ED6">
        <w:trPr>
          <w:trHeight w:val="24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327ED6">
              <w:rPr>
                <w:rFonts w:cstheme="minorHAnsi"/>
                <w:color w:val="000000" w:themeColor="text1"/>
              </w:rPr>
              <w:t xml:space="preserve">Chłonność </w:t>
            </w:r>
            <w:proofErr w:type="spellStart"/>
            <w:r w:rsidRPr="00327ED6">
              <w:rPr>
                <w:rFonts w:cstheme="minorHAnsi"/>
                <w:color w:val="000000" w:themeColor="text1"/>
              </w:rPr>
              <w:t>tupferów</w:t>
            </w:r>
            <w:proofErr w:type="spellEnd"/>
            <w:r w:rsidRPr="00327ED6">
              <w:rPr>
                <w:rFonts w:cstheme="minorHAnsi"/>
                <w:color w:val="000000" w:themeColor="text1"/>
              </w:rPr>
              <w:t xml:space="preserve"> (wsiąkanie płynu szybko, bez skapywania, wyciekania nadmiaru płynu).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cstheme="minorHAnsi"/>
              </w:rPr>
            </w:pPr>
            <w:r w:rsidRPr="00327ED6">
              <w:rPr>
                <w:rFonts w:cstheme="minorHAns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cstheme="minorHAnsi"/>
              </w:rPr>
            </w:pPr>
            <w:r w:rsidRPr="00327ED6">
              <w:rPr>
                <w:rFonts w:cstheme="minorHAnsi"/>
              </w:rPr>
              <w:t>NIE = 0 pkt</w:t>
            </w:r>
          </w:p>
        </w:tc>
      </w:tr>
      <w:tr w:rsidR="005E56E0" w:rsidRPr="00327ED6" w:rsidTr="00327ED6">
        <w:trPr>
          <w:trHeight w:val="24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327ED6">
              <w:rPr>
                <w:rFonts w:cstheme="minorHAnsi"/>
                <w:color w:val="000000" w:themeColor="text1"/>
              </w:rPr>
              <w:t>Chłonność kompresów (wsiąkanie płynu szybko, bez skapywania, wyciekania nadmiaru płynu).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cstheme="minorHAnsi"/>
              </w:rPr>
            </w:pPr>
            <w:r w:rsidRPr="00327ED6">
              <w:rPr>
                <w:rFonts w:cstheme="minorHAns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cstheme="minorHAnsi"/>
              </w:rPr>
            </w:pPr>
            <w:r w:rsidRPr="00327ED6">
              <w:rPr>
                <w:rFonts w:cstheme="minorHAnsi"/>
              </w:rPr>
              <w:t>NIE = 0 pkt</w:t>
            </w:r>
          </w:p>
        </w:tc>
      </w:tr>
      <w:tr w:rsidR="005E56E0" w:rsidRPr="00327ED6" w:rsidTr="00327ED6">
        <w:trPr>
          <w:trHeight w:val="24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327ED6">
              <w:rPr>
                <w:rFonts w:cstheme="minorHAnsi"/>
                <w:color w:val="000000" w:themeColor="text1"/>
              </w:rPr>
              <w:t>Chłonność podkładu higienicznego (wsiąkanie płynu szybko, bez skapywania, wyciekania nadmiaru płynu).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cstheme="minorHAnsi"/>
              </w:rPr>
            </w:pPr>
            <w:r w:rsidRPr="00327ED6">
              <w:rPr>
                <w:rFonts w:cstheme="minorHAns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cstheme="minorHAnsi"/>
              </w:rPr>
            </w:pPr>
            <w:r w:rsidRPr="00327ED6">
              <w:rPr>
                <w:rFonts w:cstheme="minorHAnsi"/>
              </w:rPr>
              <w:t>NIE = 0 pkt</w:t>
            </w:r>
          </w:p>
        </w:tc>
      </w:tr>
      <w:tr w:rsidR="005E56E0" w:rsidRPr="00327ED6" w:rsidTr="00327ED6">
        <w:trPr>
          <w:trHeight w:val="24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327ED6">
              <w:rPr>
                <w:rFonts w:cstheme="minorHAnsi"/>
                <w:color w:val="000000" w:themeColor="text1"/>
              </w:rPr>
              <w:t>Gładkość kleszczyków plastikowych (brak zadziorów).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cstheme="minorHAnsi"/>
              </w:rPr>
            </w:pPr>
            <w:r w:rsidRPr="00327ED6">
              <w:rPr>
                <w:rFonts w:cstheme="minorHAns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cstheme="minorHAnsi"/>
              </w:rPr>
            </w:pPr>
            <w:r w:rsidRPr="00327ED6">
              <w:rPr>
                <w:rFonts w:cstheme="minorHAnsi"/>
              </w:rPr>
              <w:t>NIE = 0 pkt</w:t>
            </w:r>
          </w:p>
        </w:tc>
      </w:tr>
      <w:tr w:rsidR="005E56E0" w:rsidRPr="00327ED6" w:rsidTr="00327ED6">
        <w:trPr>
          <w:trHeight w:val="24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327ED6">
              <w:rPr>
                <w:rFonts w:cstheme="minorHAnsi"/>
                <w:color w:val="000000" w:themeColor="text1"/>
              </w:rPr>
              <w:t xml:space="preserve">Skuteczne działanie zamka zatrzaskowego w kleszczykach plastikowych powodujące nie wypadanie </w:t>
            </w:r>
            <w:proofErr w:type="spellStart"/>
            <w:r w:rsidRPr="00327ED6">
              <w:rPr>
                <w:rFonts w:cstheme="minorHAnsi"/>
                <w:color w:val="000000" w:themeColor="text1"/>
              </w:rPr>
              <w:t>tupfera</w:t>
            </w:r>
            <w:proofErr w:type="spellEnd"/>
            <w:r w:rsidRPr="00327ED6">
              <w:rPr>
                <w:rFonts w:cstheme="minorHAnsi"/>
                <w:color w:val="000000" w:themeColor="text1"/>
              </w:rPr>
              <w:t xml:space="preserve"> podczas dezynfekcji.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cstheme="minorHAnsi"/>
              </w:rPr>
            </w:pPr>
            <w:r w:rsidRPr="00327ED6">
              <w:rPr>
                <w:rFonts w:cstheme="minorHAns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cstheme="minorHAnsi"/>
              </w:rPr>
            </w:pPr>
            <w:r w:rsidRPr="00327ED6">
              <w:rPr>
                <w:rFonts w:cstheme="minorHAnsi"/>
              </w:rPr>
              <w:t>NIE = 0 pkt</w:t>
            </w:r>
          </w:p>
        </w:tc>
      </w:tr>
      <w:tr w:rsidR="005E56E0" w:rsidRPr="00327ED6" w:rsidTr="00327ED6">
        <w:trPr>
          <w:trHeight w:val="24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327ED6">
              <w:rPr>
                <w:rFonts w:cstheme="minorHAnsi"/>
                <w:color w:val="000000" w:themeColor="text1"/>
              </w:rPr>
              <w:t xml:space="preserve">Ramiona plastikowych kleszczyków nie łamią się po zapięciu na </w:t>
            </w:r>
            <w:proofErr w:type="spellStart"/>
            <w:r w:rsidRPr="00327ED6">
              <w:rPr>
                <w:rFonts w:cstheme="minorHAnsi"/>
                <w:color w:val="000000" w:themeColor="text1"/>
              </w:rPr>
              <w:t>tupferze</w:t>
            </w:r>
            <w:proofErr w:type="spellEnd"/>
            <w:r w:rsidRPr="00327ED6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cstheme="minorHAnsi"/>
              </w:rPr>
            </w:pPr>
            <w:r w:rsidRPr="00327ED6">
              <w:rPr>
                <w:rFonts w:cstheme="minorHAns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cstheme="minorHAnsi"/>
              </w:rPr>
            </w:pPr>
            <w:r w:rsidRPr="00327ED6">
              <w:rPr>
                <w:rFonts w:cstheme="minorHAnsi"/>
              </w:rPr>
              <w:t>NIE = 0 pkt</w:t>
            </w:r>
          </w:p>
        </w:tc>
      </w:tr>
      <w:tr w:rsidR="005E56E0" w:rsidRPr="00327ED6" w:rsidTr="00327ED6">
        <w:trPr>
          <w:trHeight w:val="24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327ED6">
              <w:rPr>
                <w:rFonts w:cstheme="minorHAnsi"/>
                <w:color w:val="000000" w:themeColor="text1"/>
              </w:rPr>
              <w:t>Chusta dla noworodka gładka, chłonna, nie rozdzierająca.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cstheme="minorHAnsi"/>
              </w:rPr>
            </w:pPr>
            <w:r w:rsidRPr="00327ED6">
              <w:rPr>
                <w:rFonts w:cstheme="minorHAns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cstheme="minorHAnsi"/>
              </w:rPr>
            </w:pPr>
            <w:r w:rsidRPr="00327ED6">
              <w:rPr>
                <w:rFonts w:cstheme="minorHAnsi"/>
              </w:rPr>
              <w:t>NIE = 0 pkt</w:t>
            </w:r>
          </w:p>
        </w:tc>
      </w:tr>
      <w:tr w:rsidR="005E56E0" w:rsidRPr="00327ED6" w:rsidTr="00327ED6">
        <w:trPr>
          <w:trHeight w:val="24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327ED6">
              <w:rPr>
                <w:rFonts w:cstheme="minorHAnsi"/>
                <w:color w:val="000000" w:themeColor="text1"/>
              </w:rPr>
              <w:t>Podkład chłonny gładki, miły w dotyku (przeznaczenie dla noworodka).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cstheme="minorHAnsi"/>
              </w:rPr>
            </w:pPr>
            <w:r w:rsidRPr="00327ED6">
              <w:rPr>
                <w:rFonts w:cstheme="minorHAns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cstheme="minorHAnsi"/>
              </w:rPr>
            </w:pPr>
            <w:r w:rsidRPr="00327ED6">
              <w:rPr>
                <w:rFonts w:cstheme="minorHAnsi"/>
              </w:rPr>
              <w:t>NIE = 0 pkt</w:t>
            </w:r>
          </w:p>
        </w:tc>
      </w:tr>
      <w:tr w:rsidR="005E56E0" w:rsidRPr="00327ED6" w:rsidTr="00327ED6">
        <w:trPr>
          <w:trHeight w:val="24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327ED6">
              <w:rPr>
                <w:rFonts w:cstheme="minorHAnsi"/>
                <w:color w:val="000000" w:themeColor="text1"/>
              </w:rPr>
              <w:t>Czytelność etykiet.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cstheme="minorHAnsi"/>
              </w:rPr>
            </w:pPr>
            <w:r w:rsidRPr="00327ED6">
              <w:rPr>
                <w:rFonts w:cstheme="minorHAns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cstheme="minorHAnsi"/>
              </w:rPr>
            </w:pPr>
            <w:r w:rsidRPr="00327ED6">
              <w:rPr>
                <w:rFonts w:cstheme="minorHAnsi"/>
              </w:rPr>
              <w:t>NIE = 0 pkt</w:t>
            </w:r>
          </w:p>
        </w:tc>
      </w:tr>
      <w:tr w:rsidR="005E56E0" w:rsidRPr="00327ED6" w:rsidTr="00327ED6">
        <w:trPr>
          <w:trHeight w:val="24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327ED6">
              <w:rPr>
                <w:rFonts w:cstheme="minorHAnsi"/>
                <w:color w:val="000000" w:themeColor="text1"/>
              </w:rPr>
              <w:t xml:space="preserve">Ostrość nożyczek do </w:t>
            </w:r>
            <w:proofErr w:type="spellStart"/>
            <w:r w:rsidRPr="00327ED6">
              <w:rPr>
                <w:rFonts w:cstheme="minorHAnsi"/>
                <w:color w:val="000000" w:themeColor="text1"/>
              </w:rPr>
              <w:t>episjotomii</w:t>
            </w:r>
            <w:proofErr w:type="spellEnd"/>
            <w:r w:rsidRPr="00327ED6">
              <w:rPr>
                <w:rFonts w:cstheme="minorHAnsi"/>
                <w:color w:val="000000" w:themeColor="text1"/>
              </w:rPr>
              <w:t xml:space="preserve"> (możliwość nacięcia krocza na raz).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cstheme="minorHAnsi"/>
              </w:rPr>
            </w:pPr>
            <w:r w:rsidRPr="00327ED6">
              <w:rPr>
                <w:rFonts w:cstheme="minorHAns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cstheme="minorHAnsi"/>
              </w:rPr>
            </w:pPr>
            <w:r w:rsidRPr="00327ED6">
              <w:rPr>
                <w:rFonts w:cstheme="minorHAnsi"/>
              </w:rPr>
              <w:t>NIE = 0 pkt</w:t>
            </w:r>
          </w:p>
        </w:tc>
      </w:tr>
      <w:tr w:rsidR="005E56E0" w:rsidRPr="00327ED6" w:rsidTr="00327ED6">
        <w:trPr>
          <w:trHeight w:val="24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327ED6">
              <w:rPr>
                <w:rFonts w:cstheme="minorHAnsi"/>
                <w:color w:val="000000" w:themeColor="text1"/>
              </w:rPr>
              <w:t>Stabilność kocherów, płynne działanie zamka zatrzaskowego, tj. możliwość otwarcia i zapięcia jednorącz.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cstheme="minorHAnsi"/>
              </w:rPr>
            </w:pPr>
            <w:r w:rsidRPr="00327ED6">
              <w:rPr>
                <w:rFonts w:cstheme="minorHAns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cstheme="minorHAnsi"/>
              </w:rPr>
            </w:pPr>
            <w:r w:rsidRPr="00327ED6">
              <w:rPr>
                <w:rFonts w:cstheme="minorHAnsi"/>
              </w:rPr>
              <w:t>NIE = 0 pkt</w:t>
            </w:r>
          </w:p>
        </w:tc>
      </w:tr>
      <w:tr w:rsidR="005E56E0" w:rsidRPr="00327ED6" w:rsidTr="00327ED6">
        <w:trPr>
          <w:trHeight w:val="24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327ED6">
              <w:rPr>
                <w:rFonts w:cstheme="minorHAnsi"/>
                <w:color w:val="000000" w:themeColor="text1"/>
              </w:rPr>
              <w:t>Ramiona kocherów metalowych zamykają się po zamknięciu zamka równolegle (nie skośnie).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cstheme="minorHAnsi"/>
              </w:rPr>
            </w:pPr>
            <w:r w:rsidRPr="00327ED6">
              <w:rPr>
                <w:rFonts w:cstheme="minorHAns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cstheme="minorHAnsi"/>
              </w:rPr>
            </w:pPr>
            <w:r w:rsidRPr="00327ED6">
              <w:rPr>
                <w:rFonts w:cstheme="minorHAnsi"/>
              </w:rPr>
              <w:t>NIE = 0 pkt</w:t>
            </w:r>
          </w:p>
        </w:tc>
      </w:tr>
      <w:tr w:rsidR="005E56E0" w:rsidRPr="00327ED6" w:rsidTr="00327ED6">
        <w:trPr>
          <w:trHeight w:val="24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327ED6">
              <w:rPr>
                <w:rFonts w:cstheme="minorHAnsi"/>
                <w:color w:val="000000" w:themeColor="text1"/>
              </w:rPr>
              <w:t>Kocher po zapięciu na pępowinie (bywa dość grubej) nie pęka, nie łamie się.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cstheme="minorHAnsi"/>
              </w:rPr>
            </w:pPr>
            <w:r w:rsidRPr="00327ED6">
              <w:rPr>
                <w:rFonts w:cstheme="minorHAns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cstheme="minorHAnsi"/>
              </w:rPr>
            </w:pPr>
            <w:r w:rsidRPr="00327ED6">
              <w:rPr>
                <w:rFonts w:cstheme="minorHAnsi"/>
              </w:rPr>
              <w:t>NIE = 0 pkt</w:t>
            </w:r>
          </w:p>
        </w:tc>
      </w:tr>
      <w:tr w:rsidR="005E56E0" w:rsidRPr="00327ED6" w:rsidTr="00327ED6">
        <w:trPr>
          <w:trHeight w:val="78"/>
        </w:trPr>
        <w:tc>
          <w:tcPr>
            <w:tcW w:w="1101" w:type="dxa"/>
            <w:vMerge w:val="restart"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5E56E0" w:rsidRPr="00327ED6" w:rsidRDefault="008D30B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327ED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5E56E0" w:rsidRPr="00327ED6" w:rsidRDefault="008D30B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327ED6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 xml:space="preserve">Łatwość otwierania zestawu z opakowania –rozklejanie opakowania na jego </w:t>
            </w:r>
            <w:proofErr w:type="spellStart"/>
            <w:r w:rsidRPr="00327ED6">
              <w:rPr>
                <w:rFonts w:ascii="Calibri" w:hAnsi="Calibri" w:cs="Calibri"/>
              </w:rPr>
              <w:t>zgrzewie</w:t>
            </w:r>
            <w:proofErr w:type="spellEnd"/>
            <w:r w:rsidRPr="00327ED6">
              <w:rPr>
                <w:rFonts w:ascii="Calibri" w:hAnsi="Calibri" w:cs="Calibri"/>
              </w:rPr>
              <w:t xml:space="preserve"> poprzez jedno pociągnięcie.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rPr>
          <w:trHeight w:val="78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Sposób pakowania zestawu – gotowość zestawu do pracy, bez konieczności podwójnego czy potrójnego rozwijania.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rPr>
          <w:trHeight w:val="78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 xml:space="preserve">Chłonność </w:t>
            </w:r>
            <w:proofErr w:type="spellStart"/>
            <w:r w:rsidRPr="00327ED6">
              <w:rPr>
                <w:rFonts w:ascii="Calibri" w:hAnsi="Calibri" w:cs="Calibri"/>
              </w:rPr>
              <w:t>tupferów</w:t>
            </w:r>
            <w:proofErr w:type="spellEnd"/>
            <w:r w:rsidRPr="00327ED6">
              <w:rPr>
                <w:rFonts w:ascii="Calibri" w:hAnsi="Calibri" w:cs="Calibri"/>
              </w:rPr>
              <w:t xml:space="preserve"> – płyn wsiąka płynnie, szybko, nie skapuje, nadmiar płynu nie wycieka.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rPr>
          <w:trHeight w:val="78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 xml:space="preserve">Gładkość narzędzia. 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rPr>
          <w:trHeight w:val="78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 xml:space="preserve">Zamek zatrzaskowy – </w:t>
            </w:r>
            <w:proofErr w:type="spellStart"/>
            <w:r w:rsidRPr="00327ED6">
              <w:rPr>
                <w:rFonts w:ascii="Calibri" w:hAnsi="Calibri" w:cs="Calibri"/>
              </w:rPr>
              <w:t>tupfer</w:t>
            </w:r>
            <w:proofErr w:type="spellEnd"/>
            <w:r w:rsidRPr="00327ED6">
              <w:rPr>
                <w:rFonts w:ascii="Calibri" w:hAnsi="Calibri" w:cs="Calibri"/>
              </w:rPr>
              <w:t xml:space="preserve"> nie wypada podczas dezynfekcji.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rPr>
          <w:trHeight w:val="42"/>
        </w:trPr>
        <w:tc>
          <w:tcPr>
            <w:tcW w:w="1101" w:type="dxa"/>
            <w:vMerge w:val="restart"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5E56E0" w:rsidRPr="00327ED6" w:rsidRDefault="008D30B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327ED6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5E56E0" w:rsidRPr="00327ED6" w:rsidRDefault="008D30B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327ED6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 xml:space="preserve">Łatwość otwierania zestawu z opakowania - rozklejenie opakowania na jego </w:t>
            </w:r>
            <w:proofErr w:type="spellStart"/>
            <w:r w:rsidRPr="00327ED6">
              <w:rPr>
                <w:rFonts w:ascii="Calibri" w:hAnsi="Calibri" w:cs="Calibri"/>
              </w:rPr>
              <w:t>zgrzewie</w:t>
            </w:r>
            <w:proofErr w:type="spellEnd"/>
            <w:r w:rsidRPr="00327ED6">
              <w:rPr>
                <w:rFonts w:ascii="Calibri" w:hAnsi="Calibri" w:cs="Calibri"/>
              </w:rPr>
              <w:t xml:space="preserve"> poprzez jedno pociągnięcie.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rPr>
          <w:trHeight w:val="37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Łatwość otwierania zgodnie z zasadami aseptyki.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rPr>
          <w:trHeight w:val="37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Ułożenie elementów zestawu wewnątrz zestawu warstwowo chronologicznie.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rPr>
          <w:trHeight w:val="37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 xml:space="preserve">Chłonność </w:t>
            </w:r>
            <w:proofErr w:type="spellStart"/>
            <w:r w:rsidRPr="00327ED6">
              <w:rPr>
                <w:rFonts w:ascii="Calibri" w:hAnsi="Calibri" w:cs="Calibri"/>
              </w:rPr>
              <w:t>tupferów</w:t>
            </w:r>
            <w:proofErr w:type="spellEnd"/>
            <w:r w:rsidRPr="00327ED6">
              <w:rPr>
                <w:rFonts w:ascii="Calibri" w:hAnsi="Calibri" w:cs="Calibri"/>
              </w:rPr>
              <w:t xml:space="preserve"> (wsiąkanie płynu szybko, bez skapywania, wyciekania nadmiaru płynu).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rPr>
          <w:trHeight w:val="37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Chłonność kompresów (wsiąkanie płynu szybko, bez skapywania, wyciekania nadmiaru płynu).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rPr>
          <w:trHeight w:val="37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Gładkość narzędzi plastikowych (brak zadziorów).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rPr>
          <w:trHeight w:val="37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Czytelność etykiet.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rPr>
          <w:trHeight w:val="37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Ostrość nożyczek do episiotomii.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rPr>
          <w:trHeight w:val="37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Stabilność imadła, płynne działanie zamka zatrzaskowego, tj. możliwość otwarcia i zapięcia jednorącz.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rPr>
          <w:trHeight w:val="37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Igła w imadle nie ślizga się, nie kołysze.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c>
          <w:tcPr>
            <w:tcW w:w="1101" w:type="dxa"/>
            <w:vMerge w:val="restart"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E56E0" w:rsidRPr="00327ED6" w:rsidRDefault="008D30B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Łatwość otwierania zgodnie z zasadami aseptyki.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 xml:space="preserve">NIE = 0 pkt </w:t>
            </w:r>
          </w:p>
        </w:tc>
      </w:tr>
      <w:tr w:rsidR="005E56E0" w:rsidRPr="00327ED6" w:rsidTr="00327ED6"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Czytelność etykiet.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Odporność na rozrywanie serwet.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Wytrzymałość na przesiąkanie.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Naklejka na wierzchu serwety ginekologicznej umożliwiająca identyfikacje strony/kierunku rozkładania serwety.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2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Stabilność mocowania.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Pewność zabezpieczenia przewodów.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3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Łatwość otwierania zgodnie z zasadami aseptyki.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Czytelność etykiet.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Odporność na rozrywanie serwet.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Naklejka na wierzchu serwety do cięcia cesarskiego umożliwiająca identyfikacje strony/kierunku rozkładania serwety.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Trwałość mocowania serwet.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Ułożenie elementów zestawu wewnątrz zestawu warstwowo chronologicznie.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Kolorowe lamówki fartucha różnicujące jego rozmiar.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4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Łatwość otwierania zgodnie z zasadami aseptyki.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Czytelność etykiet.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5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Łatwość otwierania zgodnie z zasadami aseptyki.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Czytelność etykiet.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Odporność na rozrywanie.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Stabilność mocowania.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Trwałość mocowania.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c>
          <w:tcPr>
            <w:tcW w:w="1101" w:type="dxa"/>
            <w:vMerge w:val="restart"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E56E0" w:rsidRPr="00327ED6" w:rsidRDefault="008D30B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E56E0" w:rsidRPr="00327ED6" w:rsidRDefault="008D30B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1</w:t>
            </w: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Łatwość otwierania zgodnie z zasadami aseptyki.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Czytelność etykiet.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rPr>
          <w:trHeight w:val="574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Odporność na rozrywanie serwet.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Naklejka na wierzchu serwety do laparoskopii umożliwiająca identyfikacje strony/kierunku rozkładania serwety.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Trwałość mocowania serwet.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Ułożenie elementów zestawu wewnątrz zestawu warstwowo chronologicznie.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Kolorowe lamówki fartucha różnicujące jego rozmiar.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c>
          <w:tcPr>
            <w:tcW w:w="1101" w:type="dxa"/>
            <w:vMerge w:val="restart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1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Łatwość otwierania zgodnie z zasadami aseptyki.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Czytelność etykiet.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Odporność na rozrywanie serwet.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Naklejka na wierzchu serwety ginekologicznej umożliwiającej identyfikacje strony/kierunku rozkładania serwety.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 xml:space="preserve">Trwałość mocowania serwet. 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Ułożenie elementów zestawu wewnątrz zestawu warstwowo chronologicznie.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Kolorowe lamówki fartucha różnicujące jego rozmiar.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rPr>
          <w:trHeight w:val="90"/>
        </w:trPr>
        <w:tc>
          <w:tcPr>
            <w:tcW w:w="1101" w:type="dxa"/>
            <w:vMerge w:val="restart"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5E56E0" w:rsidRPr="00327ED6" w:rsidRDefault="008D30B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327ED6">
              <w:rPr>
                <w:rFonts w:ascii="Calibri" w:hAnsi="Calibri" w:cs="Calibri"/>
                <w:color w:val="000000" w:themeColor="text1"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5E56E0" w:rsidRPr="00327ED6" w:rsidRDefault="008D30B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327ED6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Łatwość otwierania zgodnie z zasadami aseptyki.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rPr>
          <w:trHeight w:val="90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Czytelność etykiet.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rPr>
          <w:trHeight w:val="90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5E56E0" w:rsidRPr="00327ED6" w:rsidRDefault="008D30B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327ED6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Łatwość otwierania zgodnie z zasadami aseptyki.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rPr>
          <w:trHeight w:val="90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Czytelność etykiet.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rPr>
          <w:trHeight w:val="90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5E56E0" w:rsidRPr="00327ED6" w:rsidRDefault="008D30B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327ED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Widoczne ułożenie skalpela na opakowaniu jednostkowym.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rPr>
          <w:trHeight w:val="90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Czytelność opakowania.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rPr>
          <w:trHeight w:val="199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5E56E0" w:rsidRPr="00327ED6" w:rsidRDefault="008D30B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327ED6">
              <w:rPr>
                <w:rFonts w:ascii="Calibri" w:hAnsi="Calibri" w:cs="Calibri"/>
                <w:color w:val="000000" w:themeColor="text1"/>
              </w:rPr>
              <w:t>9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5E56E0" w:rsidRPr="00327ED6" w:rsidRDefault="008D30B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327ED6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327ED6">
              <w:rPr>
                <w:rFonts w:ascii="Calibri" w:hAnsi="Calibri" w:cs="Calibri"/>
                <w:color w:val="000000" w:themeColor="text1"/>
              </w:rPr>
              <w:t xml:space="preserve">Łatwość otwierania zestawu z opakowania - rozklejenie opakowania na jego </w:t>
            </w:r>
            <w:proofErr w:type="spellStart"/>
            <w:r w:rsidRPr="00327ED6">
              <w:rPr>
                <w:rFonts w:ascii="Calibri" w:hAnsi="Calibri" w:cs="Calibri"/>
                <w:color w:val="000000" w:themeColor="text1"/>
              </w:rPr>
              <w:t>zgrzewie</w:t>
            </w:r>
            <w:proofErr w:type="spellEnd"/>
            <w:r w:rsidRPr="00327ED6">
              <w:rPr>
                <w:rFonts w:ascii="Calibri" w:hAnsi="Calibri" w:cs="Calibri"/>
                <w:color w:val="000000" w:themeColor="text1"/>
              </w:rPr>
              <w:t xml:space="preserve"> poprzez jedno pociągnięcie.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rPr>
          <w:trHeight w:val="24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327ED6">
              <w:rPr>
                <w:rFonts w:ascii="Calibri" w:hAnsi="Calibri" w:cs="Calibri"/>
                <w:color w:val="000000" w:themeColor="text1"/>
              </w:rPr>
              <w:t>Łatwość otwierania zgodnie z zasadami aseptyki.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rPr>
          <w:trHeight w:val="631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327ED6">
              <w:rPr>
                <w:rFonts w:ascii="Calibri" w:hAnsi="Calibri" w:cs="Calibri"/>
                <w:color w:val="000000" w:themeColor="text1"/>
              </w:rPr>
              <w:t>Ułożenie elementów zestawu wewnątrz zestawu warstwowo chronologicznie.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rPr>
          <w:trHeight w:val="504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327ED6">
              <w:rPr>
                <w:rFonts w:ascii="Calibri" w:hAnsi="Calibri" w:cs="Calibri"/>
                <w:color w:val="000000" w:themeColor="text1"/>
              </w:rPr>
              <w:t>Chłonność kompresów (wsiąkanie płynu szybko, bez skapywania, wyciekania nadmiaru płynu).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RPr="00327ED6" w:rsidTr="00327ED6">
        <w:trPr>
          <w:trHeight w:val="442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327ED6">
              <w:rPr>
                <w:rFonts w:ascii="Calibri" w:hAnsi="Calibri" w:cs="Calibri"/>
                <w:color w:val="000000" w:themeColor="text1"/>
              </w:rPr>
              <w:t>Serweta dla noworodka gładka, chłonna, nie rozdzierająca.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  <w:tr w:rsidR="005E56E0" w:rsidTr="00327ED6">
        <w:trPr>
          <w:trHeight w:val="24"/>
        </w:trPr>
        <w:tc>
          <w:tcPr>
            <w:tcW w:w="1101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56E0" w:rsidRPr="00327ED6" w:rsidRDefault="005E56E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327ED6">
              <w:rPr>
                <w:rFonts w:ascii="Calibri" w:hAnsi="Calibri" w:cs="Calibri"/>
                <w:color w:val="000000" w:themeColor="text1"/>
              </w:rPr>
              <w:t>Czytelność etykiet.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TAK = 1 pkt</w:t>
            </w:r>
          </w:p>
          <w:p w:rsidR="005E56E0" w:rsidRPr="00327ED6" w:rsidRDefault="008D30BB">
            <w:pPr>
              <w:spacing w:after="0" w:line="240" w:lineRule="auto"/>
              <w:rPr>
                <w:rFonts w:ascii="Calibri" w:hAnsi="Calibri" w:cs="Calibri"/>
              </w:rPr>
            </w:pPr>
            <w:r w:rsidRPr="00327ED6">
              <w:rPr>
                <w:rFonts w:ascii="Calibri" w:hAnsi="Calibri" w:cs="Calibri"/>
              </w:rPr>
              <w:t>NIE = 0 pkt</w:t>
            </w:r>
          </w:p>
        </w:tc>
      </w:tr>
    </w:tbl>
    <w:p w:rsidR="005E56E0" w:rsidRDefault="005E56E0"/>
    <w:sectPr w:rsidR="005E56E0" w:rsidSect="009A6DE8">
      <w:headerReference w:type="first" r:id="rId7"/>
      <w:pgSz w:w="11906" w:h="16838"/>
      <w:pgMar w:top="1418" w:right="1418" w:bottom="1418" w:left="1418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E8" w:rsidRDefault="009A6DE8" w:rsidP="009A6DE8">
      <w:pPr>
        <w:spacing w:after="0" w:line="240" w:lineRule="auto"/>
      </w:pPr>
      <w:r>
        <w:separator/>
      </w:r>
    </w:p>
  </w:endnote>
  <w:endnote w:type="continuationSeparator" w:id="0">
    <w:p w:rsidR="009A6DE8" w:rsidRDefault="009A6DE8" w:rsidP="009A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E8" w:rsidRDefault="009A6DE8" w:rsidP="009A6DE8">
      <w:pPr>
        <w:spacing w:after="0" w:line="240" w:lineRule="auto"/>
      </w:pPr>
      <w:r>
        <w:separator/>
      </w:r>
    </w:p>
  </w:footnote>
  <w:footnote w:type="continuationSeparator" w:id="0">
    <w:p w:rsidR="009A6DE8" w:rsidRDefault="009A6DE8" w:rsidP="009A6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DE8" w:rsidRDefault="009A6DE8" w:rsidP="009A6DE8">
    <w:pPr>
      <w:pStyle w:val="Nagwek4"/>
      <w:spacing w:line="240" w:lineRule="auto"/>
      <w:ind w:left="0"/>
      <w:jc w:val="left"/>
      <w:rPr>
        <w:rFonts w:ascii="Calibri" w:hAnsi="Calibri" w:cs="Calibri"/>
        <w:b/>
        <w:bCs/>
        <w:i w:val="0"/>
        <w:szCs w:val="24"/>
      </w:rPr>
    </w:pPr>
  </w:p>
  <w:p w:rsidR="009A6DE8" w:rsidRDefault="009A6DE8" w:rsidP="009A6DE8">
    <w:pPr>
      <w:pStyle w:val="Nagwek4"/>
      <w:spacing w:line="240" w:lineRule="auto"/>
      <w:ind w:left="0"/>
      <w:jc w:val="left"/>
      <w:rPr>
        <w:rFonts w:ascii="Calibri" w:hAnsi="Calibri" w:cs="Calibri"/>
        <w:b/>
        <w:bCs/>
        <w:i w:val="0"/>
        <w:szCs w:val="24"/>
      </w:rPr>
    </w:pPr>
  </w:p>
  <w:p w:rsidR="009A6DE8" w:rsidRPr="00327ED6" w:rsidRDefault="009A6DE8" w:rsidP="009A6DE8">
    <w:pPr>
      <w:pStyle w:val="Nagwek4"/>
      <w:spacing w:line="240" w:lineRule="auto"/>
      <w:ind w:left="0"/>
      <w:rPr>
        <w:rFonts w:ascii="Calibri" w:hAnsi="Calibri" w:cs="Calibri"/>
        <w:b/>
        <w:bCs/>
        <w:i w:val="0"/>
        <w:szCs w:val="24"/>
      </w:rPr>
    </w:pPr>
    <w:r w:rsidRPr="00327ED6">
      <w:rPr>
        <w:rFonts w:ascii="Calibri" w:hAnsi="Calibri" w:cs="Calibri"/>
        <w:b/>
        <w:bCs/>
        <w:i w:val="0"/>
        <w:szCs w:val="24"/>
      </w:rPr>
      <w:t>Załącznik nr 4 do SWZ</w:t>
    </w:r>
  </w:p>
  <w:p w:rsidR="009A6DE8" w:rsidRDefault="009A6D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E0"/>
    <w:rsid w:val="00327ED6"/>
    <w:rsid w:val="005E56E0"/>
    <w:rsid w:val="008C5A61"/>
    <w:rsid w:val="008D30BB"/>
    <w:rsid w:val="009A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A3E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qFormat/>
    <w:rsid w:val="00910F37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4CCA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10F37"/>
  </w:style>
  <w:style w:type="character" w:customStyle="1" w:styleId="StopkaZnak">
    <w:name w:val="Stopka Znak"/>
    <w:basedOn w:val="Domylnaczcionkaakapitu"/>
    <w:link w:val="Stopka"/>
    <w:uiPriority w:val="99"/>
    <w:qFormat/>
    <w:rsid w:val="00910F37"/>
  </w:style>
  <w:style w:type="character" w:customStyle="1" w:styleId="Nagwek4Znak">
    <w:name w:val="Nagłówek 4 Znak"/>
    <w:basedOn w:val="Domylnaczcionkaakapitu"/>
    <w:link w:val="Nagwek4"/>
    <w:qFormat/>
    <w:rsid w:val="00910F3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10F3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4CC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10F37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366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A3E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qFormat/>
    <w:rsid w:val="00910F37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4CCA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10F37"/>
  </w:style>
  <w:style w:type="character" w:customStyle="1" w:styleId="StopkaZnak">
    <w:name w:val="Stopka Znak"/>
    <w:basedOn w:val="Domylnaczcionkaakapitu"/>
    <w:link w:val="Stopka"/>
    <w:uiPriority w:val="99"/>
    <w:qFormat/>
    <w:rsid w:val="00910F37"/>
  </w:style>
  <w:style w:type="character" w:customStyle="1" w:styleId="Nagwek4Znak">
    <w:name w:val="Nagłówek 4 Znak"/>
    <w:basedOn w:val="Domylnaczcionkaakapitu"/>
    <w:link w:val="Nagwek4"/>
    <w:qFormat/>
    <w:rsid w:val="00910F3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10F3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4CC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10F37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366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6DFA0C4F</Template>
  <TotalTime>9</TotalTime>
  <Pages>4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Sobczak</dc:creator>
  <dc:description/>
  <cp:lastModifiedBy>Agnieszka Bebech</cp:lastModifiedBy>
  <cp:revision>5</cp:revision>
  <cp:lastPrinted>2020-07-30T09:08:00Z</cp:lastPrinted>
  <dcterms:created xsi:type="dcterms:W3CDTF">2021-06-09T08:26:00Z</dcterms:created>
  <dcterms:modified xsi:type="dcterms:W3CDTF">2021-07-30T11:33:00Z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