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54" w:rsidRPr="00284826" w:rsidRDefault="00987254" w:rsidP="00284826"/>
    <w:p w:rsidR="001B1515" w:rsidRPr="00F03AFF" w:rsidRDefault="001B1515" w:rsidP="001B1515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1B1515" w:rsidRPr="00F03AFF" w:rsidRDefault="001B1515" w:rsidP="001B151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34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ZZP</w:t>
      </w:r>
    </w:p>
    <w:p w:rsidR="001B1515" w:rsidRPr="00A54EA6" w:rsidRDefault="001B1515" w:rsidP="001B1515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B1515" w:rsidRPr="00A54EA6" w:rsidRDefault="001B1515" w:rsidP="001B1515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1B1515" w:rsidRPr="00A4407F" w:rsidRDefault="001B1515" w:rsidP="001B1515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1B1515" w:rsidRPr="00A4407F" w:rsidRDefault="001B1515" w:rsidP="001B1515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1B1515" w:rsidRPr="00A4407F" w:rsidRDefault="001B1515" w:rsidP="001B1515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1B1515" w:rsidRPr="00A4407F" w:rsidRDefault="001B1515" w:rsidP="001B151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1B1515" w:rsidRPr="00A54EA6" w:rsidRDefault="001B1515" w:rsidP="001B1515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1B1515" w:rsidRPr="00A54EA6" w:rsidRDefault="001B1515" w:rsidP="001B1515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1B1515" w:rsidRPr="00A54EA6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46"/>
        <w:gridCol w:w="6381"/>
      </w:tblGrid>
      <w:tr w:rsidR="001B1515" w:rsidRPr="00A54EA6" w:rsidTr="0000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1B1515" w:rsidRPr="00A54EA6" w:rsidTr="000040DA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1B1515" w:rsidRPr="00A54EA6" w:rsidTr="000040DA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1B1515" w:rsidRPr="000F2320" w:rsidRDefault="001B1515" w:rsidP="0000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kern w:val="0"/>
                <w:lang w:eastAsia="ar-SA" w:bidi="ar-SA"/>
              </w:rPr>
              <w:t>D</w:t>
            </w:r>
            <w:r w:rsidRPr="000F2320">
              <w:rPr>
                <w:rFonts w:eastAsia="Times New Roman" w:cs="Times New Roman"/>
                <w:bCs/>
                <w:kern w:val="0"/>
                <w:lang w:eastAsia="ar-SA" w:bidi="ar-SA"/>
              </w:rPr>
              <w:t>ostawa urządzeń</w:t>
            </w:r>
            <w:r w:rsidRPr="000F2320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 </w:t>
            </w:r>
            <w:r w:rsidRPr="000F2320">
              <w:rPr>
                <w:rFonts w:eastAsia="Times New Roman" w:cs="Times New Roman"/>
                <w:bCs/>
                <w:kern w:val="0"/>
                <w:lang w:eastAsia="ar-SA" w:bidi="ar-SA"/>
              </w:rPr>
              <w:t>do laserowego pomiaru punktów w</w:t>
            </w:r>
            <w:r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 </w:t>
            </w:r>
            <w:r w:rsidRPr="000F2320"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przestrzeni </w:t>
            </w:r>
            <w:r w:rsidRPr="000F2320">
              <w:rPr>
                <w:rFonts w:eastAsia="Times New Roman" w:cs="Times New Roman"/>
                <w:kern w:val="0"/>
                <w:lang w:eastAsia="ar-SA" w:bidi="ar-SA"/>
              </w:rPr>
              <w:t>do Centrum Szkolenia Policji w Legionowie</w:t>
            </w:r>
            <w:r w:rsidRPr="000F2320">
              <w:rPr>
                <w:rFonts w:eastAsia="Times New Roman" w:cs="Times New Roman"/>
                <w:bCs/>
                <w:kern w:val="0"/>
                <w:lang w:eastAsia="ar-SA" w:bidi="ar-SA"/>
              </w:rPr>
              <w:t xml:space="preserve"> </w:t>
            </w:r>
            <w:r w:rsidRPr="000F2320">
              <w:rPr>
                <w:rFonts w:eastAsia="Times New Roman" w:cs="Times New Roman"/>
                <w:bCs/>
                <w:kern w:val="0"/>
                <w:lang w:eastAsia="ar-SA" w:bidi="ar-SA"/>
              </w:rPr>
              <w:br/>
              <w:t>w ramach programu Polska Pomoc 2024</w:t>
            </w:r>
          </w:p>
        </w:tc>
      </w:tr>
      <w:tr w:rsidR="001B1515" w:rsidRPr="00A54EA6" w:rsidTr="000040DA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34/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24/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ZZP</w:t>
            </w:r>
          </w:p>
        </w:tc>
      </w:tr>
    </w:tbl>
    <w:p w:rsidR="001B1515" w:rsidRPr="00A54EA6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1B1515" w:rsidRPr="00A54EA6" w:rsidTr="0000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1B1515" w:rsidRPr="00A54EA6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1B1515" w:rsidRPr="00A54EA6" w:rsidRDefault="001B1515" w:rsidP="000040DA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1B1515" w:rsidRPr="00A54EA6" w:rsidRDefault="001B1515" w:rsidP="000040DA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1B1515" w:rsidRPr="00A54EA6" w:rsidRDefault="001B1515" w:rsidP="000040DA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1B1515" w:rsidRPr="00A54EA6" w:rsidRDefault="001B1515" w:rsidP="000040DA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1B1515" w:rsidRPr="00A54EA6" w:rsidRDefault="001B1515" w:rsidP="000040DA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1B1515" w:rsidRPr="00A54EA6" w:rsidRDefault="001B1515" w:rsidP="000040DA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1B1515" w:rsidRDefault="001B1515" w:rsidP="000040DA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1B1515" w:rsidRPr="009D2376" w:rsidRDefault="001B1515" w:rsidP="001B1515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1B1515" w:rsidRPr="009D2376" w:rsidSect="001B1515">
          <w:footerReference w:type="default" r:id="rId8"/>
          <w:pgSz w:w="11906" w:h="16838" w:code="9"/>
          <w:pgMar w:top="1135" w:right="993" w:bottom="1276" w:left="1418" w:header="0" w:footer="709" w:gutter="0"/>
          <w:cols w:space="708"/>
          <w:docGrid w:linePitch="360"/>
        </w:sect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984"/>
        <w:gridCol w:w="4094"/>
      </w:tblGrid>
      <w:tr w:rsidR="001B1515" w:rsidRPr="00222EE2" w:rsidTr="0000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1B1515" w:rsidRPr="00222EE2" w:rsidRDefault="001B1515" w:rsidP="000040DA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1B1515" w:rsidRPr="00222EE2" w:rsidTr="00004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1B1515" w:rsidRPr="00222EE2" w:rsidTr="000040DA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 w:val="restart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1B1515" w:rsidRPr="00222EE2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1B1515" w:rsidRPr="00222EE2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222EE2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1B1515" w:rsidRPr="00222EE2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1B1515" w:rsidRPr="00222EE2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1B1515" w:rsidRPr="00222EE2" w:rsidTr="000040DA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1B1515" w:rsidRPr="00222EE2" w:rsidTr="000040DA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1B1515" w:rsidRPr="00222EE2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84"/>
        <w:gridCol w:w="4094"/>
      </w:tblGrid>
      <w:tr w:rsidR="001B1515" w:rsidRPr="00222EE2" w:rsidTr="0000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1B1515" w:rsidRPr="00222EE2" w:rsidTr="00004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1B1515" w:rsidRPr="00222EE2" w:rsidRDefault="001B1515" w:rsidP="000040DA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1B1515" w:rsidRPr="00222EE2" w:rsidRDefault="001B1515" w:rsidP="000040DA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1B1515" w:rsidRPr="00222EE2" w:rsidRDefault="001B1515" w:rsidP="000040DA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1B1515" w:rsidRPr="00222EE2" w:rsidRDefault="001B1515" w:rsidP="000040DA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1B1515" w:rsidRPr="00222EE2" w:rsidRDefault="001B1515" w:rsidP="000040DA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w postępowaniu.</w:t>
            </w:r>
          </w:p>
        </w:tc>
        <w:tc>
          <w:tcPr>
            <w:tcW w:w="3969" w:type="dxa"/>
          </w:tcPr>
          <w:p w:rsidR="001B1515" w:rsidRPr="001812AB" w:rsidRDefault="001B1515" w:rsidP="000040DA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1B1515" w:rsidRPr="001812AB" w:rsidRDefault="001B1515" w:rsidP="000040DA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1B1515" w:rsidRPr="001812AB" w:rsidRDefault="001B1515" w:rsidP="000040DA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1B1515" w:rsidRPr="001812AB" w:rsidRDefault="001B1515" w:rsidP="000040DA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1B1515" w:rsidRPr="001812AB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1B1515" w:rsidRPr="00A54EA6" w:rsidTr="00004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1B1515" w:rsidRPr="005B4613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5B4613">
              <w:rPr>
                <w:rFonts w:eastAsia="Times New Roman" w:cs="Times New Roman"/>
                <w:bCs w:val="0"/>
                <w:i/>
                <w:kern w:val="0"/>
                <w:sz w:val="21"/>
                <w:szCs w:val="21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 </w:t>
            </w:r>
          </w:p>
          <w:p w:rsidR="001B1515" w:rsidRPr="005B4613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1B1515" w:rsidRPr="00A54EA6" w:rsidRDefault="001B1515" w:rsidP="000040DA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1B1515" w:rsidRPr="001812AB" w:rsidRDefault="001B1515" w:rsidP="000040DA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1B1515" w:rsidRPr="001812AB" w:rsidRDefault="001B1515" w:rsidP="000040DA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1B1515" w:rsidRPr="00222EE2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94"/>
        <w:gridCol w:w="4104"/>
        <w:gridCol w:w="273"/>
      </w:tblGrid>
      <w:tr w:rsidR="001B1515" w:rsidRPr="00222EE2" w:rsidTr="000040D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5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1B1515" w:rsidRPr="00222EE2" w:rsidTr="000040DA">
        <w:trPr>
          <w:gridAfter w:val="1"/>
          <w:wAfter w:w="26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right w:val="single" w:sz="8" w:space="0" w:color="808080"/>
            </w:tcBorders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1B1515" w:rsidRPr="00222EE2" w:rsidRDefault="001B1515" w:rsidP="000040DA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1B1515" w:rsidRPr="00222EE2" w:rsidTr="000040DA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:rsidR="001B1515" w:rsidRPr="00222EE2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8334"/>
      </w:tblGrid>
      <w:tr w:rsidR="001B1515" w:rsidRPr="00222EE2" w:rsidTr="0000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1B1515" w:rsidRPr="00222EE2" w:rsidRDefault="001B1515" w:rsidP="000040D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1B1515" w:rsidRPr="00222EE2" w:rsidRDefault="001B1515" w:rsidP="000040DA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1B1515" w:rsidRPr="00222EE2" w:rsidRDefault="001B1515" w:rsidP="000040DA">
            <w:pPr>
              <w:widowControl/>
              <w:numPr>
                <w:ilvl w:val="0"/>
                <w:numId w:val="41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1B1515" w:rsidRPr="00222EE2" w:rsidRDefault="001B1515" w:rsidP="000040DA">
            <w:pPr>
              <w:widowControl/>
              <w:numPr>
                <w:ilvl w:val="0"/>
                <w:numId w:val="41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1B1515" w:rsidRPr="00222EE2" w:rsidRDefault="001B1515" w:rsidP="000040DA">
            <w:pPr>
              <w:widowControl/>
              <w:numPr>
                <w:ilvl w:val="0"/>
                <w:numId w:val="41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1B1515" w:rsidRPr="00222EE2" w:rsidTr="00004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1B1515" w:rsidRPr="00222EE2" w:rsidRDefault="001B1515" w:rsidP="000040D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Wykonawca zobowiązany jest uzupełnić oświadczenie w części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E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tylko w przypadku, gdy zamierza zlecić wykonanie części zamówienia Podwykonawcom.</w:t>
            </w:r>
          </w:p>
        </w:tc>
      </w:tr>
    </w:tbl>
    <w:p w:rsidR="001B1515" w:rsidRPr="00222EE2" w:rsidRDefault="001B1515" w:rsidP="001B1515">
      <w:pPr>
        <w:keepNext/>
        <w:widowControl/>
        <w:numPr>
          <w:ilvl w:val="0"/>
          <w:numId w:val="40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1B1515" w:rsidRPr="00222EE2" w:rsidRDefault="001B1515" w:rsidP="001B1515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1B1515" w:rsidRPr="00222EE2" w:rsidRDefault="001B1515" w:rsidP="001B1515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:rsidR="001B1515" w:rsidRPr="00A54EA6" w:rsidRDefault="001B1515" w:rsidP="001B1515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1B1515" w:rsidRPr="00A54EA6" w:rsidRDefault="001B1515" w:rsidP="001B151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1B1515" w:rsidRPr="00A54EA6" w:rsidRDefault="001B1515" w:rsidP="001B151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B1515" w:rsidRPr="00A54EA6" w:rsidRDefault="001B1515" w:rsidP="001B151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37A96" w:rsidRPr="001510D1" w:rsidRDefault="001B1515" w:rsidP="001510D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  <w:sectPr w:rsidR="00637A96" w:rsidRPr="001510D1" w:rsidSect="007B4C77">
          <w:footerReference w:type="default" r:id="rId9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  <w:bookmarkStart w:id="0" w:name="_GoBack"/>
      <w:bookmarkEnd w:id="0"/>
    </w:p>
    <w:p w:rsidR="009855D9" w:rsidRPr="00284B72" w:rsidRDefault="009855D9" w:rsidP="001510D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E54A85">
      <w:footerReference w:type="default" r:id="rId10"/>
      <w:pgSz w:w="11906" w:h="16838" w:code="9"/>
      <w:pgMar w:top="1418" w:right="993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90" w:rsidRDefault="001D4990" w:rsidP="000F1D63">
      <w:r>
        <w:separator/>
      </w:r>
    </w:p>
  </w:endnote>
  <w:endnote w:type="continuationSeparator" w:id="0">
    <w:p w:rsidR="001D4990" w:rsidRDefault="001D499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15" w:rsidRPr="00FC4DFB" w:rsidRDefault="001B1515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B1515" w:rsidRPr="00F56D73" w:rsidRDefault="001B1515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D83890" w:rsidRDefault="00C116BD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C116BD" w:rsidRPr="007B4C77" w:rsidRDefault="00C116BD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C116BD" w:rsidRDefault="00C116BD" w:rsidP="001644F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90" w:rsidRDefault="001D4990" w:rsidP="000F1D63">
      <w:r>
        <w:separator/>
      </w:r>
    </w:p>
  </w:footnote>
  <w:footnote w:type="continuationSeparator" w:id="0">
    <w:p w:rsidR="001D4990" w:rsidRDefault="001D4990" w:rsidP="000F1D63">
      <w:r>
        <w:continuationSeparator/>
      </w:r>
    </w:p>
  </w:footnote>
  <w:footnote w:id="1">
    <w:p w:rsidR="001B1515" w:rsidRPr="00A54EA6" w:rsidRDefault="001B1515" w:rsidP="001B1515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1B1515" w:rsidRPr="00A54EA6" w:rsidRDefault="001B1515" w:rsidP="001B1515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1B1515" w:rsidRPr="00A54EA6" w:rsidRDefault="001B1515" w:rsidP="001B1515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1B1515" w:rsidRPr="00A54EA6" w:rsidRDefault="001B1515" w:rsidP="001B1515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1B1515" w:rsidRPr="00A54EA6" w:rsidRDefault="001B1515" w:rsidP="001B151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1B1515" w:rsidRPr="00A54EA6" w:rsidRDefault="001B1515" w:rsidP="001B151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1B1515" w:rsidRDefault="001B1515" w:rsidP="001B1515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295,1598, z 2024 r., poz. 619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0D1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15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990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3F44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A85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125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B673-6014-499F-9BEA-D360E139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2024-08-07T07:50:00Z</cp:lastPrinted>
  <dcterms:created xsi:type="dcterms:W3CDTF">2024-08-08T06:44:00Z</dcterms:created>
  <dcterms:modified xsi:type="dcterms:W3CDTF">2024-08-08T07:33:00Z</dcterms:modified>
</cp:coreProperties>
</file>