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0F4200">
        <w:rPr>
          <w:rFonts w:ascii="Arial" w:hAnsi="Arial"/>
          <w:b/>
          <w:sz w:val="22"/>
          <w:szCs w:val="22"/>
        </w:rPr>
        <w:t>R.272.26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0F4200">
        <w:rPr>
          <w:rFonts w:ascii="Arial" w:hAnsi="Arial"/>
          <w:b/>
          <w:sz w:val="22"/>
          <w:szCs w:val="22"/>
        </w:rPr>
        <w:t>4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  <w:r w:rsidR="00A22399">
        <w:rPr>
          <w:rFonts w:ascii="Arial" w:hAnsi="Arial" w:cs="Arial"/>
          <w:b/>
          <w:sz w:val="18"/>
          <w:szCs w:val="18"/>
        </w:rPr>
        <w:t>(nazwa i adres Wykonawcy)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0547F2" w:rsidRDefault="000547F2" w:rsidP="000547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745B6">
        <w:rPr>
          <w:rFonts w:ascii="Arial" w:hAnsi="Arial" w:cs="Arial"/>
          <w:b/>
          <w:sz w:val="22"/>
          <w:szCs w:val="22"/>
        </w:rPr>
        <w:t>„Bieżące utrzymanie dróg powiatow</w:t>
      </w:r>
      <w:r w:rsidR="000F4200">
        <w:rPr>
          <w:rFonts w:ascii="Arial" w:hAnsi="Arial" w:cs="Arial"/>
          <w:b/>
          <w:sz w:val="22"/>
          <w:szCs w:val="22"/>
        </w:rPr>
        <w:t>ych Powiatu Strzeleckiego w 2025</w:t>
      </w:r>
      <w:r w:rsidRPr="003745B6">
        <w:rPr>
          <w:rFonts w:ascii="Arial" w:hAnsi="Arial" w:cs="Arial"/>
          <w:b/>
          <w:sz w:val="22"/>
          <w:szCs w:val="22"/>
        </w:rPr>
        <w:t xml:space="preserve"> roku wraz </w:t>
      </w:r>
      <w:r w:rsidR="003D015A">
        <w:rPr>
          <w:rFonts w:ascii="Arial" w:hAnsi="Arial" w:cs="Arial"/>
          <w:b/>
          <w:sz w:val="22"/>
          <w:szCs w:val="22"/>
        </w:rPr>
        <w:t xml:space="preserve">                   </w:t>
      </w:r>
      <w:r w:rsidRPr="003745B6">
        <w:rPr>
          <w:rFonts w:ascii="Arial" w:hAnsi="Arial" w:cs="Arial"/>
          <w:b/>
          <w:sz w:val="22"/>
          <w:szCs w:val="22"/>
        </w:rPr>
        <w:t>z usuwaniem awarii i pogotowiem awaryjn</w:t>
      </w:r>
      <w:r w:rsidR="003D015A">
        <w:rPr>
          <w:rFonts w:ascii="Arial" w:hAnsi="Arial" w:cs="Arial"/>
          <w:b/>
          <w:sz w:val="22"/>
          <w:szCs w:val="22"/>
        </w:rPr>
        <w:t xml:space="preserve">ym” z podziałem na część I </w:t>
      </w:r>
      <w:proofErr w:type="spellStart"/>
      <w:r w:rsidR="003D015A">
        <w:rPr>
          <w:rFonts w:ascii="Arial" w:hAnsi="Arial" w:cs="Arial"/>
          <w:b/>
          <w:sz w:val="22"/>
          <w:szCs w:val="22"/>
        </w:rPr>
        <w:t>i</w:t>
      </w:r>
      <w:proofErr w:type="spellEnd"/>
      <w:r w:rsidR="003D015A">
        <w:rPr>
          <w:rFonts w:ascii="Arial" w:hAnsi="Arial" w:cs="Arial"/>
          <w:b/>
          <w:sz w:val="22"/>
          <w:szCs w:val="22"/>
        </w:rPr>
        <w:t xml:space="preserve"> II</w:t>
      </w:r>
      <w:r w:rsidRPr="003745B6">
        <w:rPr>
          <w:rFonts w:ascii="Arial" w:hAnsi="Arial" w:cs="Arial"/>
          <w:b/>
          <w:sz w:val="22"/>
          <w:szCs w:val="22"/>
        </w:rPr>
        <w:t>”</w:t>
      </w: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E078E4" w:rsidRDefault="00E078E4" w:rsidP="00E078E4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dla </w:t>
      </w:r>
      <w:r w:rsidRPr="00727808">
        <w:rPr>
          <w:rFonts w:ascii="Arial" w:eastAsia="Times New Roman" w:hAnsi="Arial"/>
          <w:b/>
          <w:sz w:val="22"/>
          <w:szCs w:val="22"/>
          <w:lang w:eastAsia="ar-SA"/>
        </w:rPr>
        <w:t>Części Nr ………………..*,</w:t>
      </w:r>
    </w:p>
    <w:p w:rsidR="00E078E4" w:rsidRDefault="00E078E4" w:rsidP="00E078E4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sz w:val="22"/>
          <w:szCs w:val="22"/>
          <w:lang w:eastAsia="ar-SA"/>
        </w:rPr>
        <w:t>i zobowiązujemy się wykonać przedmiot zamówienia zgodnie z warunkami zawartymi  w SWZ.</w:t>
      </w:r>
    </w:p>
    <w:p w:rsidR="00E078E4" w:rsidRPr="00727808" w:rsidRDefault="00E078E4" w:rsidP="00E078E4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b/>
          <w:bCs/>
          <w:i/>
          <w:sz w:val="18"/>
          <w:szCs w:val="18"/>
          <w:lang w:eastAsia="ar-SA"/>
        </w:rPr>
      </w:pPr>
      <w:r w:rsidRPr="00727808">
        <w:rPr>
          <w:rFonts w:ascii="Arial" w:eastAsia="Times New Roman" w:hAnsi="Arial"/>
          <w:i/>
          <w:color w:val="auto"/>
          <w:sz w:val="18"/>
          <w:szCs w:val="18"/>
          <w:lang w:eastAsia="ar-SA"/>
        </w:rPr>
        <w:t>*wpisać numer części, dla których składana jest oferta</w:t>
      </w:r>
    </w:p>
    <w:p w:rsidR="003358EB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E078E4" w:rsidRDefault="00E078E4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E078E4" w:rsidRPr="00C05D79" w:rsidRDefault="00E078E4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3D015A" w:rsidRDefault="003D015A" w:rsidP="003D015A">
      <w:pPr>
        <w:pStyle w:val="Akapitzlist"/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E078E4" w:rsidRDefault="00E078E4" w:rsidP="003D015A">
      <w:pPr>
        <w:pStyle w:val="Akapitzlist"/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547F2" w:rsidRPr="000547F2" w:rsidRDefault="000547F2" w:rsidP="000547F2">
      <w:pPr>
        <w:pStyle w:val="Akapitzlist"/>
        <w:spacing w:line="360" w:lineRule="auto"/>
        <w:jc w:val="center"/>
        <w:rPr>
          <w:rFonts w:ascii="Arial" w:hAnsi="Arial" w:cs="Tahoma"/>
          <w:color w:val="auto"/>
          <w:sz w:val="22"/>
          <w:szCs w:val="22"/>
        </w:rPr>
      </w:pPr>
      <w:r w:rsidRPr="002D7AF4">
        <w:rPr>
          <w:rFonts w:ascii="Arial" w:hAnsi="Arial" w:cs="Arial"/>
          <w:b/>
          <w:sz w:val="22"/>
          <w:szCs w:val="22"/>
        </w:rPr>
        <w:t>Część I</w:t>
      </w:r>
    </w:p>
    <w:p w:rsidR="000547F2" w:rsidRPr="000547F2" w:rsidRDefault="000547F2" w:rsidP="003D015A">
      <w:pPr>
        <w:widowControl/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47F2">
        <w:rPr>
          <w:rFonts w:ascii="Arial" w:hAnsi="Arial" w:cs="Arial"/>
          <w:b/>
          <w:bCs/>
          <w:sz w:val="22"/>
          <w:szCs w:val="22"/>
        </w:rPr>
        <w:t>„</w:t>
      </w:r>
      <w:r w:rsidRPr="000547F2">
        <w:rPr>
          <w:rFonts w:ascii="Arial" w:hAnsi="Arial" w:cs="Arial"/>
          <w:b/>
          <w:sz w:val="22"/>
          <w:szCs w:val="22"/>
        </w:rPr>
        <w:t>Bieżące utrzymanie dróg powiatow</w:t>
      </w:r>
      <w:r w:rsidR="000F4200">
        <w:rPr>
          <w:rFonts w:ascii="Arial" w:hAnsi="Arial" w:cs="Arial"/>
          <w:b/>
          <w:sz w:val="22"/>
          <w:szCs w:val="22"/>
        </w:rPr>
        <w:t>ych Powiatu Strzeleckiego w 2025</w:t>
      </w:r>
      <w:r w:rsidRPr="000547F2">
        <w:rPr>
          <w:rFonts w:ascii="Arial" w:hAnsi="Arial" w:cs="Arial"/>
          <w:b/>
          <w:sz w:val="22"/>
          <w:szCs w:val="22"/>
        </w:rPr>
        <w:t xml:space="preserve"> roku wraz </w:t>
      </w:r>
      <w:r w:rsidR="003D015A">
        <w:rPr>
          <w:rFonts w:ascii="Arial" w:hAnsi="Arial" w:cs="Arial"/>
          <w:b/>
          <w:sz w:val="22"/>
          <w:szCs w:val="22"/>
        </w:rPr>
        <w:t xml:space="preserve">                  </w:t>
      </w:r>
      <w:r w:rsidRPr="000547F2">
        <w:rPr>
          <w:rFonts w:ascii="Arial" w:hAnsi="Arial" w:cs="Arial"/>
          <w:b/>
          <w:sz w:val="22"/>
          <w:szCs w:val="22"/>
        </w:rPr>
        <w:t>z usuwaniem awarii i pogotowiem awaryjnym – część I”</w:t>
      </w:r>
    </w:p>
    <w:p w:rsidR="000547F2" w:rsidRPr="000547F2" w:rsidRDefault="000547F2" w:rsidP="003D01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47F2">
        <w:rPr>
          <w:rFonts w:ascii="Arial" w:hAnsi="Arial" w:cs="Arial"/>
          <w:b/>
          <w:bCs/>
          <w:sz w:val="22"/>
          <w:szCs w:val="22"/>
        </w:rPr>
        <w:t>(</w:t>
      </w:r>
      <w:r w:rsidRPr="000547F2">
        <w:rPr>
          <w:rFonts w:ascii="Arial" w:hAnsi="Arial" w:cs="Arial"/>
          <w:b/>
          <w:sz w:val="22"/>
          <w:szCs w:val="22"/>
        </w:rPr>
        <w:t xml:space="preserve">gm. Ujazd, gm. Leśnica, części gm. Strzelce Opolskie i części gm. Izbicko) w ilości </w:t>
      </w:r>
      <w:r>
        <w:rPr>
          <w:rFonts w:ascii="Arial" w:hAnsi="Arial" w:cs="Arial"/>
          <w:b/>
          <w:sz w:val="22"/>
          <w:szCs w:val="22"/>
        </w:rPr>
        <w:br/>
      </w:r>
      <w:r w:rsidRPr="000547F2">
        <w:rPr>
          <w:rFonts w:ascii="Arial" w:hAnsi="Arial" w:cs="Arial"/>
          <w:b/>
          <w:bCs/>
          <w:sz w:val="22"/>
          <w:szCs w:val="22"/>
          <w:lang w:eastAsia="pl-PL"/>
        </w:rPr>
        <w:t xml:space="preserve">154,159 </w:t>
      </w:r>
      <w:r w:rsidRPr="000547F2">
        <w:rPr>
          <w:rFonts w:ascii="Arial" w:hAnsi="Arial" w:cs="Arial"/>
          <w:b/>
          <w:sz w:val="22"/>
          <w:szCs w:val="22"/>
        </w:rPr>
        <w:t>km</w:t>
      </w:r>
    </w:p>
    <w:p w:rsidR="000547F2" w:rsidRDefault="000547F2" w:rsidP="000547F2">
      <w:pPr>
        <w:spacing w:line="360" w:lineRule="auto"/>
        <w:ind w:left="360"/>
        <w:jc w:val="both"/>
        <w:rPr>
          <w:rFonts w:ascii="Arial" w:hAnsi="Arial" w:cs="Tahoma"/>
          <w:color w:val="auto"/>
          <w:sz w:val="22"/>
          <w:szCs w:val="22"/>
        </w:rPr>
      </w:pPr>
    </w:p>
    <w:p w:rsidR="00E078E4" w:rsidRPr="000547F2" w:rsidRDefault="00E078E4" w:rsidP="000547F2">
      <w:pPr>
        <w:spacing w:line="360" w:lineRule="auto"/>
        <w:ind w:left="360"/>
        <w:jc w:val="both"/>
        <w:rPr>
          <w:rFonts w:ascii="Arial" w:hAnsi="Arial" w:cs="Tahoma"/>
          <w:color w:val="auto"/>
          <w:sz w:val="22"/>
          <w:szCs w:val="22"/>
        </w:rPr>
      </w:pPr>
    </w:p>
    <w:p w:rsidR="00453A33" w:rsidRPr="00C05D79" w:rsidRDefault="000547F2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I kryterium – C</w:t>
      </w:r>
      <w:r w:rsidR="00453A33" w:rsidRPr="00C05D79">
        <w:rPr>
          <w:rFonts w:ascii="Arial" w:hAnsi="Arial" w:cs="Arial"/>
          <w:b/>
          <w:color w:val="auto"/>
          <w:sz w:val="22"/>
          <w:szCs w:val="22"/>
          <w:u w:val="single"/>
        </w:rPr>
        <w:t>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453A33" w:rsidRPr="00C05D79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453A33" w:rsidRDefault="00453A33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E078E4" w:rsidRPr="000819AC" w:rsidRDefault="00E078E4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547F2" w:rsidRPr="000547F2" w:rsidRDefault="00453A33" w:rsidP="000547F2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="000547F2">
        <w:rPr>
          <w:rFonts w:ascii="Arial" w:hAnsi="Arial" w:cs="Arial"/>
          <w:b/>
          <w:sz w:val="22"/>
          <w:szCs w:val="22"/>
          <w:u w:val="single"/>
        </w:rPr>
        <w:t>Czas Reakcji:</w:t>
      </w:r>
    </w:p>
    <w:p w:rsidR="000547F2" w:rsidRDefault="000547F2" w:rsidP="000547F2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 w:rsidRPr="008F019C">
        <w:rPr>
          <w:rFonts w:ascii="Arial" w:hAnsi="Arial" w:cs="Tahoma"/>
          <w:b/>
          <w:color w:val="auto"/>
          <w:sz w:val="22"/>
          <w:szCs w:val="22"/>
        </w:rPr>
        <w:t>Czas reakcji: ………………………………………………………..</w:t>
      </w:r>
      <w:r>
        <w:rPr>
          <w:rFonts w:ascii="Arial" w:hAnsi="Arial" w:cs="Tahoma"/>
          <w:b/>
          <w:color w:val="auto"/>
          <w:sz w:val="22"/>
          <w:szCs w:val="22"/>
        </w:rPr>
        <w:t xml:space="preserve"> </w:t>
      </w:r>
      <w:r w:rsidRPr="008F019C">
        <w:rPr>
          <w:rFonts w:ascii="Arial" w:hAnsi="Arial" w:cs="Tahoma"/>
          <w:b/>
          <w:color w:val="auto"/>
          <w:sz w:val="22"/>
          <w:szCs w:val="22"/>
        </w:rPr>
        <w:t>(i</w:t>
      </w:r>
      <w:r>
        <w:rPr>
          <w:rFonts w:ascii="Arial" w:hAnsi="Arial" w:cs="Tahoma"/>
          <w:b/>
          <w:color w:val="auto"/>
          <w:sz w:val="22"/>
          <w:szCs w:val="22"/>
        </w:rPr>
        <w:t>l</w:t>
      </w:r>
      <w:r w:rsidRPr="008F019C">
        <w:rPr>
          <w:rFonts w:ascii="Arial" w:hAnsi="Arial" w:cs="Tahoma"/>
          <w:b/>
          <w:color w:val="auto"/>
          <w:sz w:val="22"/>
          <w:szCs w:val="22"/>
        </w:rPr>
        <w:t>ość minut).</w:t>
      </w:r>
    </w:p>
    <w:p w:rsidR="000547F2" w:rsidRPr="00D8486C" w:rsidRDefault="000547F2" w:rsidP="000547F2">
      <w:pPr>
        <w:widowControl/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noProof/>
          <w:color w:val="auto"/>
          <w:sz w:val="22"/>
          <w:szCs w:val="22"/>
          <w:lang w:eastAsia="pl-PL"/>
        </w:rPr>
      </w:pPr>
      <w:r w:rsidRPr="00D8486C">
        <w:rPr>
          <w:rFonts w:ascii="Arial" w:eastAsia="Times New Roman" w:hAnsi="Arial" w:cs="Arial"/>
          <w:color w:val="auto"/>
          <w:sz w:val="22"/>
          <w:szCs w:val="22"/>
          <w:u w:val="single"/>
          <w:lang w:eastAsia="ar-SA"/>
        </w:rPr>
        <w:t>Czas reakcji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jest to czas od momentu powiadomienia Wykonawcy przez Zamawiającego, Policję lub Straż Pożarną (telefonicznie, mail, </w:t>
      </w:r>
      <w:proofErr w:type="spellStart"/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fax</w:t>
      </w:r>
      <w:proofErr w:type="spellEnd"/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) do momentu:</w:t>
      </w:r>
    </w:p>
    <w:p w:rsidR="000547F2" w:rsidRPr="00D8486C" w:rsidRDefault="000547F2" w:rsidP="000547F2">
      <w:pPr>
        <w:widowControl/>
        <w:numPr>
          <w:ilvl w:val="0"/>
          <w:numId w:val="16"/>
        </w:numPr>
        <w:spacing w:line="360" w:lineRule="auto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ustawienia oznakowania - zakończenia ustawienia oznakowania miejsca awarii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                         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i powiadomienia o tym fakcie Zamawiającego;</w:t>
      </w:r>
    </w:p>
    <w:p w:rsidR="000547F2" w:rsidRPr="00D8486C" w:rsidRDefault="000547F2" w:rsidP="000547F2">
      <w:pPr>
        <w:widowControl/>
        <w:numPr>
          <w:ilvl w:val="0"/>
          <w:numId w:val="16"/>
        </w:numPr>
        <w:spacing w:line="360" w:lineRule="auto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D8486C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zapewnienia awaryjnego zasilania przepompowni za pomocą agregatu prądu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                           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i powiadamiania o tym fakcie Zamawiającego.</w:t>
      </w:r>
      <w:r w:rsidRPr="006C371C">
        <w:rPr>
          <w:rFonts w:ascii="Arial" w:eastAsia="Times New Roman" w:hAnsi="Arial" w:cs="Arial"/>
          <w:color w:val="auto"/>
          <w:sz w:val="22"/>
          <w:szCs w:val="22"/>
          <w:lang w:eastAsia="ar-SA"/>
        </w:rPr>
        <w:tab/>
      </w:r>
    </w:p>
    <w:p w:rsidR="000547F2" w:rsidRPr="001F67EE" w:rsidRDefault="000547F2" w:rsidP="003D015A">
      <w:pPr>
        <w:widowControl/>
        <w:spacing w:line="360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Maksymalny czas reakcji wynosi </w:t>
      </w:r>
      <w:r w:rsidRPr="00D8486C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nie więcej niż 120 min.</w:t>
      </w:r>
    </w:p>
    <w:p w:rsidR="00453A33" w:rsidRPr="007528A7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3D015A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E078E4" w:rsidRDefault="00E078E4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E078E4" w:rsidRDefault="00E078E4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E078E4" w:rsidRDefault="00E078E4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E078E4" w:rsidRDefault="00E078E4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E078E4" w:rsidRDefault="00E078E4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637F24" w:rsidRDefault="000839F1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lastRenderedPageBreak/>
        <w:t xml:space="preserve">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12519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</w:p>
        </w:tc>
      </w:tr>
      <w:tr w:rsidR="00432C8E" w:rsidTr="00E078E4">
        <w:trPr>
          <w:cantSplit/>
          <w:trHeight w:val="65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E078E4">
        <w:trPr>
          <w:cantSplit/>
          <w:trHeight w:val="304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37F24" w:rsidRDefault="00637F24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015A" w:rsidRDefault="003D015A" w:rsidP="003D015A">
      <w:pPr>
        <w:pStyle w:val="Akapitzlist"/>
        <w:spacing w:line="360" w:lineRule="auto"/>
        <w:rPr>
          <w:rFonts w:ascii="Arial" w:hAnsi="Arial" w:cs="Arial"/>
          <w:b/>
          <w:sz w:val="22"/>
          <w:szCs w:val="22"/>
        </w:rPr>
      </w:pPr>
    </w:p>
    <w:p w:rsidR="000547F2" w:rsidRPr="003D015A" w:rsidRDefault="000547F2" w:rsidP="003D015A">
      <w:pPr>
        <w:pStyle w:val="Akapitzlist"/>
        <w:spacing w:line="360" w:lineRule="auto"/>
        <w:jc w:val="center"/>
        <w:rPr>
          <w:rFonts w:ascii="Arial" w:hAnsi="Arial" w:cs="Tahoma"/>
          <w:b/>
          <w:color w:val="auto"/>
          <w:sz w:val="22"/>
          <w:szCs w:val="22"/>
        </w:rPr>
      </w:pPr>
      <w:r w:rsidRPr="003D015A">
        <w:rPr>
          <w:rFonts w:ascii="Arial" w:hAnsi="Arial" w:cs="Arial"/>
          <w:b/>
          <w:sz w:val="22"/>
          <w:szCs w:val="22"/>
        </w:rPr>
        <w:t>Część II</w:t>
      </w:r>
    </w:p>
    <w:p w:rsidR="000547F2" w:rsidRPr="003D015A" w:rsidRDefault="000547F2" w:rsidP="000547F2">
      <w:pPr>
        <w:widowControl/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15A">
        <w:rPr>
          <w:rFonts w:ascii="Arial" w:hAnsi="Arial" w:cs="Arial"/>
          <w:b/>
          <w:bCs/>
          <w:sz w:val="22"/>
          <w:szCs w:val="22"/>
        </w:rPr>
        <w:t>„</w:t>
      </w:r>
      <w:r w:rsidRPr="003D015A">
        <w:rPr>
          <w:rFonts w:ascii="Arial" w:hAnsi="Arial" w:cs="Arial"/>
          <w:b/>
          <w:sz w:val="22"/>
          <w:szCs w:val="22"/>
        </w:rPr>
        <w:t>Bieżące utrzymanie dróg powiatow</w:t>
      </w:r>
      <w:r w:rsidR="000F4200">
        <w:rPr>
          <w:rFonts w:ascii="Arial" w:hAnsi="Arial" w:cs="Arial"/>
          <w:b/>
          <w:sz w:val="22"/>
          <w:szCs w:val="22"/>
        </w:rPr>
        <w:t>ych Powiatu Strzeleckiego w 2025</w:t>
      </w:r>
      <w:r w:rsidRPr="003D015A">
        <w:rPr>
          <w:rFonts w:ascii="Arial" w:hAnsi="Arial" w:cs="Arial"/>
          <w:b/>
          <w:sz w:val="22"/>
          <w:szCs w:val="22"/>
        </w:rPr>
        <w:t xml:space="preserve"> roku wraz z usuwaniem awarii i pogotowiem awaryjnym – część II”</w:t>
      </w:r>
    </w:p>
    <w:p w:rsidR="000547F2" w:rsidRPr="003D015A" w:rsidRDefault="000547F2" w:rsidP="000547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15A">
        <w:rPr>
          <w:rFonts w:ascii="Arial" w:hAnsi="Arial" w:cs="Arial"/>
          <w:b/>
          <w:bCs/>
          <w:sz w:val="22"/>
          <w:szCs w:val="22"/>
        </w:rPr>
        <w:t xml:space="preserve"> (</w:t>
      </w:r>
      <w:r w:rsidRPr="003D015A">
        <w:rPr>
          <w:rFonts w:ascii="Arial" w:hAnsi="Arial" w:cs="Arial"/>
          <w:b/>
          <w:sz w:val="22"/>
          <w:szCs w:val="22"/>
        </w:rPr>
        <w:t xml:space="preserve">gm. Jemielnica, gm. Kolonowskie, gm. Zawadzkie, części gm. Strzelce Opolskie i części gm. Izbicko) w ilości </w:t>
      </w:r>
      <w:r w:rsidRPr="003D015A">
        <w:rPr>
          <w:rFonts w:ascii="Arial" w:hAnsi="Arial" w:cs="Arial"/>
          <w:b/>
          <w:bCs/>
          <w:sz w:val="22"/>
          <w:szCs w:val="22"/>
          <w:lang w:eastAsia="pl-PL"/>
        </w:rPr>
        <w:t xml:space="preserve">154,614 </w:t>
      </w:r>
      <w:r w:rsidRPr="003D015A">
        <w:rPr>
          <w:rFonts w:ascii="Arial" w:hAnsi="Arial" w:cs="Arial"/>
          <w:b/>
          <w:sz w:val="22"/>
          <w:szCs w:val="22"/>
        </w:rPr>
        <w:t>km</w:t>
      </w:r>
    </w:p>
    <w:p w:rsidR="000547F2" w:rsidRPr="000547F2" w:rsidRDefault="000547F2" w:rsidP="000547F2">
      <w:pPr>
        <w:spacing w:line="360" w:lineRule="auto"/>
        <w:ind w:left="360"/>
        <w:jc w:val="both"/>
        <w:rPr>
          <w:rFonts w:ascii="Arial" w:hAnsi="Arial" w:cs="Tahoma"/>
          <w:color w:val="auto"/>
          <w:sz w:val="22"/>
          <w:szCs w:val="22"/>
        </w:rPr>
      </w:pPr>
    </w:p>
    <w:p w:rsidR="000547F2" w:rsidRPr="000F4200" w:rsidRDefault="000547F2" w:rsidP="000F4200">
      <w:pPr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F4200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0547F2" w:rsidRPr="00C05D79" w:rsidRDefault="000547F2" w:rsidP="000547F2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0547F2" w:rsidRPr="00C05D79" w:rsidRDefault="000547F2" w:rsidP="000547F2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0547F2" w:rsidRPr="00C05D79" w:rsidRDefault="000547F2" w:rsidP="000547F2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0547F2" w:rsidRPr="00C05D79" w:rsidRDefault="000547F2" w:rsidP="000547F2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0547F2" w:rsidRPr="00C05D79" w:rsidRDefault="000547F2" w:rsidP="000547F2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0547F2" w:rsidRPr="00C05D79" w:rsidRDefault="000547F2" w:rsidP="000547F2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0547F2" w:rsidRPr="000819AC" w:rsidRDefault="000547F2" w:rsidP="000547F2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0547F2" w:rsidRPr="000547F2" w:rsidRDefault="000547F2" w:rsidP="000547F2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>
        <w:rPr>
          <w:rFonts w:ascii="Arial" w:hAnsi="Arial" w:cs="Arial"/>
          <w:b/>
          <w:sz w:val="22"/>
          <w:szCs w:val="22"/>
          <w:u w:val="single"/>
        </w:rPr>
        <w:t>Czas Reakcji:</w:t>
      </w:r>
    </w:p>
    <w:p w:rsidR="000547F2" w:rsidRDefault="000547F2" w:rsidP="000547F2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 w:rsidRPr="008F019C">
        <w:rPr>
          <w:rFonts w:ascii="Arial" w:hAnsi="Arial" w:cs="Tahoma"/>
          <w:b/>
          <w:color w:val="auto"/>
          <w:sz w:val="22"/>
          <w:szCs w:val="22"/>
        </w:rPr>
        <w:t>Czas reakcji: ………………………………………………………..</w:t>
      </w:r>
      <w:r>
        <w:rPr>
          <w:rFonts w:ascii="Arial" w:hAnsi="Arial" w:cs="Tahoma"/>
          <w:b/>
          <w:color w:val="auto"/>
          <w:sz w:val="22"/>
          <w:szCs w:val="22"/>
        </w:rPr>
        <w:t xml:space="preserve"> </w:t>
      </w:r>
      <w:r w:rsidRPr="008F019C">
        <w:rPr>
          <w:rFonts w:ascii="Arial" w:hAnsi="Arial" w:cs="Tahoma"/>
          <w:b/>
          <w:color w:val="auto"/>
          <w:sz w:val="22"/>
          <w:szCs w:val="22"/>
        </w:rPr>
        <w:t>(i</w:t>
      </w:r>
      <w:r>
        <w:rPr>
          <w:rFonts w:ascii="Arial" w:hAnsi="Arial" w:cs="Tahoma"/>
          <w:b/>
          <w:color w:val="auto"/>
          <w:sz w:val="22"/>
          <w:szCs w:val="22"/>
        </w:rPr>
        <w:t>l</w:t>
      </w:r>
      <w:r w:rsidRPr="008F019C">
        <w:rPr>
          <w:rFonts w:ascii="Arial" w:hAnsi="Arial" w:cs="Tahoma"/>
          <w:b/>
          <w:color w:val="auto"/>
          <w:sz w:val="22"/>
          <w:szCs w:val="22"/>
        </w:rPr>
        <w:t>ość minut).</w:t>
      </w:r>
    </w:p>
    <w:p w:rsidR="000547F2" w:rsidRPr="00D8486C" w:rsidRDefault="000547F2" w:rsidP="000547F2">
      <w:pPr>
        <w:widowControl/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noProof/>
          <w:color w:val="auto"/>
          <w:sz w:val="22"/>
          <w:szCs w:val="22"/>
          <w:lang w:eastAsia="pl-PL"/>
        </w:rPr>
      </w:pPr>
      <w:r w:rsidRPr="00D8486C">
        <w:rPr>
          <w:rFonts w:ascii="Arial" w:eastAsia="Times New Roman" w:hAnsi="Arial" w:cs="Arial"/>
          <w:color w:val="auto"/>
          <w:sz w:val="22"/>
          <w:szCs w:val="22"/>
          <w:u w:val="single"/>
          <w:lang w:eastAsia="ar-SA"/>
        </w:rPr>
        <w:t>Czas reakcji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jest to czas od momentu powiadomienia Wykonawcy przez Zamawiającego, Policję lub Straż Pożarną (telefonicznie, mail, </w:t>
      </w:r>
      <w:proofErr w:type="spellStart"/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fax</w:t>
      </w:r>
      <w:proofErr w:type="spellEnd"/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) do momentu:</w:t>
      </w:r>
    </w:p>
    <w:p w:rsidR="000547F2" w:rsidRPr="00D8486C" w:rsidRDefault="000547F2" w:rsidP="000547F2">
      <w:pPr>
        <w:widowControl/>
        <w:numPr>
          <w:ilvl w:val="0"/>
          <w:numId w:val="16"/>
        </w:numPr>
        <w:spacing w:line="360" w:lineRule="auto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ustawienia oznakowania - zakończenia ustawienia oznakowania miejsca awarii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                         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i powiadomienia o tym fakcie Zamawiającego;</w:t>
      </w:r>
    </w:p>
    <w:p w:rsidR="000547F2" w:rsidRPr="00D8486C" w:rsidRDefault="000547F2" w:rsidP="000547F2">
      <w:pPr>
        <w:widowControl/>
        <w:numPr>
          <w:ilvl w:val="0"/>
          <w:numId w:val="16"/>
        </w:numPr>
        <w:spacing w:line="360" w:lineRule="auto"/>
        <w:ind w:left="993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D8486C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zapewnienia awaryjnego zasilania przepompowni za pomocą agregatu prądu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                           </w:t>
      </w: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>i powiadamiania o tym fakcie Zamawiającego.</w:t>
      </w:r>
      <w:r w:rsidRPr="006C371C">
        <w:rPr>
          <w:rFonts w:ascii="Arial" w:eastAsia="Times New Roman" w:hAnsi="Arial" w:cs="Arial"/>
          <w:color w:val="auto"/>
          <w:sz w:val="22"/>
          <w:szCs w:val="22"/>
          <w:lang w:eastAsia="ar-SA"/>
        </w:rPr>
        <w:tab/>
      </w:r>
    </w:p>
    <w:p w:rsidR="000547F2" w:rsidRPr="001F67EE" w:rsidRDefault="000547F2" w:rsidP="003D015A">
      <w:pPr>
        <w:widowControl/>
        <w:spacing w:line="360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D8486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Maksymalny czas reakcji wynosi </w:t>
      </w:r>
      <w:r w:rsidRPr="00D8486C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nie więcej niż 120 min.</w:t>
      </w:r>
    </w:p>
    <w:p w:rsidR="000547F2" w:rsidRPr="007528A7" w:rsidRDefault="000547F2" w:rsidP="000547F2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0547F2" w:rsidRDefault="000547F2" w:rsidP="000547F2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0547F2" w:rsidRDefault="000547F2" w:rsidP="000547F2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0547F2" w:rsidTr="00E4436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547F2" w:rsidRDefault="000547F2" w:rsidP="00E4436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0547F2" w:rsidRDefault="000547F2" w:rsidP="00E4436D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0547F2" w:rsidRDefault="000547F2" w:rsidP="00E4436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0547F2" w:rsidRDefault="000547F2" w:rsidP="00E4436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0547F2" w:rsidTr="00E4436D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547F2" w:rsidRDefault="000547F2" w:rsidP="00E4436D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547F2" w:rsidRDefault="000547F2" w:rsidP="00E4436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547F2" w:rsidRDefault="000547F2" w:rsidP="00E4436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547F2" w:rsidTr="00E4436D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547F2" w:rsidRDefault="000547F2" w:rsidP="00E4436D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547F2" w:rsidRDefault="000547F2" w:rsidP="00E4436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547F2" w:rsidRDefault="000547F2" w:rsidP="00E4436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7F8E" w:rsidRDefault="005E7F8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0F4200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Default="00040519" w:rsidP="0065508F">
      <w:pPr>
        <w:rPr>
          <w:sz w:val="20"/>
          <w:szCs w:val="20"/>
        </w:rPr>
      </w:pPr>
    </w:p>
    <w:p w:rsidR="00FB1B44" w:rsidRPr="000F4200" w:rsidRDefault="00FB1B44" w:rsidP="000F4200">
      <w:pPr>
        <w:pStyle w:val="Akapitzlist"/>
        <w:numPr>
          <w:ilvl w:val="0"/>
          <w:numId w:val="19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0F4200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lastRenderedPageBreak/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0F4200" w:rsidRDefault="003B748F" w:rsidP="000F4200">
      <w:pPr>
        <w:pStyle w:val="Akapitzlist"/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0F4200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0F4200" w:rsidRDefault="000F4200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F4200" w:rsidRPr="00093B4B" w:rsidRDefault="000F4200" w:rsidP="000F4200">
      <w:pPr>
        <w:pStyle w:val="Akapitzlist"/>
        <w:numPr>
          <w:ilvl w:val="0"/>
          <w:numId w:val="19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niej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F4200" w:rsidRPr="00943845" w:rsidRDefault="000F4200" w:rsidP="000F4200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D015A" w:rsidRPr="003D015A" w:rsidRDefault="000F4200" w:rsidP="003D015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6.</w:t>
      </w:r>
      <w:r w:rsidR="00FB1B44" w:rsidRPr="003D015A">
        <w:rPr>
          <w:rFonts w:ascii="Arial" w:hAnsi="Arial" w:cs="Arial"/>
          <w:bCs/>
          <w:sz w:val="22"/>
          <w:szCs w:val="22"/>
        </w:rPr>
        <w:t xml:space="preserve">. </w:t>
      </w:r>
      <w:r w:rsidR="000E04DA" w:rsidRPr="003D015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D015A" w:rsidRPr="003D015A">
        <w:rPr>
          <w:rFonts w:ascii="Arial" w:hAnsi="Arial" w:cs="Arial"/>
          <w:sz w:val="22"/>
          <w:szCs w:val="22"/>
        </w:rPr>
        <w:t xml:space="preserve">W przypadku </w:t>
      </w:r>
      <w:r w:rsidR="003D015A" w:rsidRPr="003D015A">
        <w:rPr>
          <w:rFonts w:ascii="Arial" w:hAnsi="Arial" w:cs="Arial"/>
          <w:b/>
          <w:sz w:val="22"/>
          <w:szCs w:val="22"/>
        </w:rPr>
        <w:t xml:space="preserve">zwrotu wadium: </w:t>
      </w:r>
    </w:p>
    <w:p w:rsidR="003D015A" w:rsidRDefault="003D015A" w:rsidP="003D015A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>rachunek bankowy nr</w:t>
      </w:r>
      <w:r>
        <w:rPr>
          <w:rFonts w:ascii="Arial" w:hAnsi="Arial" w:cs="Arial"/>
          <w:sz w:val="22"/>
          <w:szCs w:val="22"/>
        </w:rPr>
        <w:t xml:space="preserve"> .........................................................................,</w:t>
      </w:r>
    </w:p>
    <w:p w:rsidR="003D015A" w:rsidRDefault="003D015A" w:rsidP="003D015A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b)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0F4200" w:rsidRPr="003D015A" w:rsidRDefault="000F4200" w:rsidP="003D015A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748F" w:rsidRPr="00E73E04" w:rsidRDefault="000F4200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Tahoma"/>
          <w:b/>
          <w:bCs/>
          <w:color w:val="auto"/>
          <w:sz w:val="22"/>
          <w:szCs w:val="22"/>
        </w:rPr>
        <w:t>7</w:t>
      </w:r>
      <w:r w:rsidR="003D015A">
        <w:rPr>
          <w:rFonts w:ascii="Arial" w:hAnsi="Arial" w:cs="Tahoma"/>
          <w:b/>
          <w:bCs/>
          <w:color w:val="auto"/>
          <w:sz w:val="22"/>
          <w:szCs w:val="22"/>
        </w:rPr>
        <w:t xml:space="preserve">. 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0547F2" w:rsidRDefault="000547F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328" w:rsidRDefault="002D0328" w:rsidP="00594429">
      <w:r>
        <w:separator/>
      </w:r>
    </w:p>
  </w:endnote>
  <w:endnote w:type="continuationSeparator" w:id="0">
    <w:p w:rsidR="002D0328" w:rsidRDefault="002D0328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1E46E3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1E46E3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0F4200">
          <w:rPr>
            <w:rFonts w:ascii="Arial" w:hAnsi="Arial" w:cs="Arial"/>
            <w:noProof/>
            <w:sz w:val="16"/>
            <w:szCs w:val="16"/>
          </w:rPr>
          <w:t>6</w:t>
        </w:r>
        <w:r w:rsidR="001E46E3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328" w:rsidRDefault="002D0328" w:rsidP="00594429">
      <w:r>
        <w:separator/>
      </w:r>
    </w:p>
  </w:footnote>
  <w:footnote w:type="continuationSeparator" w:id="0">
    <w:p w:rsidR="002D0328" w:rsidRDefault="002D0328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B04DC"/>
    <w:multiLevelType w:val="hybridMultilevel"/>
    <w:tmpl w:val="FB5A3390"/>
    <w:lvl w:ilvl="0" w:tplc="674A031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43744B9"/>
    <w:multiLevelType w:val="multilevel"/>
    <w:tmpl w:val="5BE8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9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B12D0"/>
    <w:multiLevelType w:val="hybridMultilevel"/>
    <w:tmpl w:val="77D0FEC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1666A"/>
    <w:multiLevelType w:val="hybridMultilevel"/>
    <w:tmpl w:val="3BA230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90667"/>
    <w:multiLevelType w:val="hybridMultilevel"/>
    <w:tmpl w:val="423A2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18"/>
  </w:num>
  <w:num w:numId="5">
    <w:abstractNumId w:val="8"/>
  </w:num>
  <w:num w:numId="6">
    <w:abstractNumId w:val="16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 w:numId="17">
    <w:abstractNumId w:val="7"/>
  </w:num>
  <w:num w:numId="18">
    <w:abstractNumId w:val="17"/>
  </w:num>
  <w:num w:numId="19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547F2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200"/>
    <w:rsid w:val="000F4632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46E3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0328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49F2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15A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0EC2"/>
    <w:rsid w:val="00431A50"/>
    <w:rsid w:val="00432C8E"/>
    <w:rsid w:val="00442687"/>
    <w:rsid w:val="00453A33"/>
    <w:rsid w:val="00460971"/>
    <w:rsid w:val="00462AE6"/>
    <w:rsid w:val="00467303"/>
    <w:rsid w:val="004760E7"/>
    <w:rsid w:val="00477E41"/>
    <w:rsid w:val="00484610"/>
    <w:rsid w:val="004938C1"/>
    <w:rsid w:val="004B3335"/>
    <w:rsid w:val="004C00E0"/>
    <w:rsid w:val="004C651A"/>
    <w:rsid w:val="004D42D8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41719"/>
    <w:rsid w:val="005459D5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7046A7"/>
    <w:rsid w:val="00707C1A"/>
    <w:rsid w:val="007116E7"/>
    <w:rsid w:val="0072236A"/>
    <w:rsid w:val="00723894"/>
    <w:rsid w:val="00727808"/>
    <w:rsid w:val="007335F2"/>
    <w:rsid w:val="007510AC"/>
    <w:rsid w:val="00755E12"/>
    <w:rsid w:val="007572AA"/>
    <w:rsid w:val="007576A5"/>
    <w:rsid w:val="00770FA9"/>
    <w:rsid w:val="0077166E"/>
    <w:rsid w:val="00781BBD"/>
    <w:rsid w:val="007943F4"/>
    <w:rsid w:val="0079622F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7C29"/>
    <w:rsid w:val="008E77E0"/>
    <w:rsid w:val="008F019C"/>
    <w:rsid w:val="008F2B33"/>
    <w:rsid w:val="00910230"/>
    <w:rsid w:val="00911800"/>
    <w:rsid w:val="009176E2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A64A3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2399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85D56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1756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256C5"/>
    <w:rsid w:val="00B35883"/>
    <w:rsid w:val="00B464A2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095B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872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078E4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EF572C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3D17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1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6758-E998-4DF3-A736-B16A5124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6</Pages>
  <Words>1330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76</cp:revision>
  <cp:lastPrinted>2023-10-12T11:15:00Z</cp:lastPrinted>
  <dcterms:created xsi:type="dcterms:W3CDTF">2019-12-02T12:14:00Z</dcterms:created>
  <dcterms:modified xsi:type="dcterms:W3CDTF">2024-10-24T13:08:00Z</dcterms:modified>
</cp:coreProperties>
</file>