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07CEC" w14:textId="5839B3B7" w:rsidR="00996E1E" w:rsidRDefault="0068722D" w:rsidP="006533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Warszawa, dnia </w:t>
      </w:r>
      <w:r w:rsidR="00A8366A">
        <w:rPr>
          <w:rFonts w:ascii="Times New Roman" w:hAnsi="Times New Roman" w:cs="Times New Roman"/>
        </w:rPr>
        <w:t>24.03</w:t>
      </w:r>
      <w:r w:rsidR="006533E8">
        <w:rPr>
          <w:rFonts w:ascii="Times New Roman" w:hAnsi="Times New Roman" w:cs="Times New Roman"/>
        </w:rPr>
        <w:t>.2025 r.</w:t>
      </w:r>
    </w:p>
    <w:p w14:paraId="517AFB03" w14:textId="77777777" w:rsidR="006533E8" w:rsidRDefault="006533E8" w:rsidP="006533E8">
      <w:pPr>
        <w:jc w:val="both"/>
        <w:rPr>
          <w:rFonts w:ascii="Times New Roman" w:hAnsi="Times New Roman" w:cs="Times New Roman"/>
        </w:rPr>
      </w:pPr>
    </w:p>
    <w:p w14:paraId="250662AE" w14:textId="383DFE24" w:rsidR="006533E8" w:rsidRDefault="006533E8" w:rsidP="006533E8">
      <w:pPr>
        <w:jc w:val="both"/>
        <w:rPr>
          <w:rFonts w:ascii="Times New Roman" w:hAnsi="Times New Roman" w:cs="Times New Roman"/>
        </w:rPr>
      </w:pPr>
      <w:r w:rsidRPr="006533E8">
        <w:rPr>
          <w:rFonts w:ascii="Times New Roman" w:hAnsi="Times New Roman" w:cs="Times New Roman"/>
        </w:rPr>
        <w:t>W związku ze zgłoszonymi zapytaniami dotyczącym treści Specyfikacji warunków</w:t>
      </w:r>
      <w:r>
        <w:rPr>
          <w:rFonts w:ascii="Times New Roman" w:hAnsi="Times New Roman" w:cs="Times New Roman"/>
        </w:rPr>
        <w:t xml:space="preserve"> </w:t>
      </w:r>
      <w:r w:rsidRPr="006533E8">
        <w:rPr>
          <w:rFonts w:ascii="Times New Roman" w:hAnsi="Times New Roman" w:cs="Times New Roman"/>
        </w:rPr>
        <w:t xml:space="preserve">zamówienia w postępowaniu o udzielenie zamówienia publicznego na </w:t>
      </w:r>
      <w:r w:rsidR="0068722D" w:rsidRPr="0068722D">
        <w:rPr>
          <w:rFonts w:ascii="Times New Roman" w:hAnsi="Times New Roman" w:cs="Times New Roman"/>
        </w:rPr>
        <w:t>dostawę telefonów komórkowych oraz tabletów (nr ref. ZP-14/2025</w:t>
      </w:r>
      <w:r w:rsidRPr="006533E8">
        <w:rPr>
          <w:rFonts w:ascii="Times New Roman" w:hAnsi="Times New Roman" w:cs="Times New Roman"/>
        </w:rPr>
        <w:t>), Zamawiający udziela</w:t>
      </w:r>
      <w:r>
        <w:rPr>
          <w:rFonts w:ascii="Times New Roman" w:hAnsi="Times New Roman" w:cs="Times New Roman"/>
        </w:rPr>
        <w:t xml:space="preserve"> </w:t>
      </w:r>
      <w:r w:rsidRPr="006533E8">
        <w:rPr>
          <w:rFonts w:ascii="Times New Roman" w:hAnsi="Times New Roman" w:cs="Times New Roman"/>
        </w:rPr>
        <w:t>poniższych odpowiedzi:</w:t>
      </w:r>
    </w:p>
    <w:p w14:paraId="2C494851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bookmarkStart w:id="0" w:name="_Hlk155602740"/>
      <w:bookmarkStart w:id="1" w:name="_Hlk155288435"/>
      <w:bookmarkStart w:id="2" w:name="_Hlk155604282"/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33:</w:t>
      </w:r>
    </w:p>
    <w:p w14:paraId="126821F9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W zakresie § 4 ust. 1 pkt. 4) Umowy dotyczącego odpowiedzialności Wykonawcy za wyroby w okresie od chwili ich dostawy do Zamawiającego do chwili ich protokolarnego przyjęcia przez Zamawiającego (a więc okresu gdy będą one już w faktycznej dyspozycji Zamawiającego):</w:t>
      </w:r>
    </w:p>
    <w:p w14:paraId="3FEBF91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Czy Zamawiający przewiduje możliwość usunięcia z Umowy przedmiotowego zapisu?</w:t>
      </w:r>
    </w:p>
    <w:bookmarkEnd w:id="0"/>
    <w:p w14:paraId="5ABED013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33:</w:t>
      </w:r>
    </w:p>
    <w:bookmarkEnd w:id="1"/>
    <w:bookmarkEnd w:id="2"/>
    <w:p w14:paraId="65414D0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pozostaje przy zapisach zwartych w SWZ.</w:t>
      </w:r>
    </w:p>
    <w:p w14:paraId="153412FB" w14:textId="77777777" w:rsidR="00C045BC" w:rsidRPr="00C045BC" w:rsidRDefault="00C045BC" w:rsidP="00C045BC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9C8E514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34:</w:t>
      </w:r>
    </w:p>
    <w:p w14:paraId="7B08E516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zgodnie z § 4 ust. 1 pkt. 6) Umowy tj. „w przypadku stwierdzenia jakichkolwiek wad wyrobów Zamawiający odmówi podpisania Protokołu przyjęcia-przekazania”:</w:t>
      </w:r>
    </w:p>
    <w:p w14:paraId="1F497F5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Czy Zamawiający dopuszcza zmianę zapisu „stwierdzenia jakichkolwiek wad wyrobów” na „stwierdzenia istotnych wad wyrobów” lub dodanie zapisu „z wyłączeniem nieistotnych wad, niewynikających z winy Wykonawcy, takich jak np. braki folii czy akcesoriów załączonych do wyrobów. Przedmiotowe braki zostaną niezwłocznie usunięte przez Wykonawcę po dokonaniu dostawy.”</w:t>
      </w:r>
    </w:p>
    <w:p w14:paraId="61A8151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34:</w:t>
      </w:r>
    </w:p>
    <w:p w14:paraId="083DC1F7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pozostaje przy zapisach zwartych w SWZ.</w:t>
      </w:r>
    </w:p>
    <w:p w14:paraId="4446D37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</w:p>
    <w:p w14:paraId="6C2B0837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35:</w:t>
      </w:r>
    </w:p>
    <w:p w14:paraId="49E7289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5 ust. 1 Umowy dotyczącego gwarancji udzielanej przez Wykonawcę:</w:t>
      </w:r>
    </w:p>
    <w:p w14:paraId="440CA6A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Czy Zamawiający dopuszcza udzielenie gwarancji na dostarczane wyroby przez ich producenta zamiast przez Wykonawcę?</w:t>
      </w:r>
    </w:p>
    <w:p w14:paraId="34635726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35:</w:t>
      </w:r>
    </w:p>
    <w:p w14:paraId="621322E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</w:pPr>
      <w:r w:rsidRPr="00C045BC"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  <w:t>Zamawiający nie dopuszcza zmiany w zakresie udzielonej gwarancji na dostarczony sprzęt. Pozostaje przy zapisach zwartych w SWZ.</w:t>
      </w:r>
    </w:p>
    <w:p w14:paraId="3C37EF93" w14:textId="77777777" w:rsid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</w:pPr>
    </w:p>
    <w:p w14:paraId="132EA015" w14:textId="1A6F55B6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  <w:t>Pytanie nr 36:</w:t>
      </w:r>
    </w:p>
    <w:p w14:paraId="7EC006E3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  <w:t>W zakresie § 5 ust. 1 Umowy dotyczącego gwarancji udzielanej przez Wykonawcę:</w:t>
      </w:r>
    </w:p>
    <w:p w14:paraId="27D53AB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>Co oznacza sformułowanie „wyroby nie podlegające eksploatacyjnemu zużyciu”? Czy przedmiotowe sformułowanie obejmuje wyroby dostarczane w ramach przetargu?</w:t>
      </w:r>
    </w:p>
    <w:p w14:paraId="3A392E1B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Odpowiedź nr 36:</w:t>
      </w:r>
    </w:p>
    <w:p w14:paraId="3EAA962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wymaga od Wykonawcy udzielenia min. 24 miesięcznego okresu gwarancji na dostarczone wyroby.</w:t>
      </w:r>
    </w:p>
    <w:p w14:paraId="31502A6B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poprzez eksploatacyjne zużycie wyrobów rozumnie uszkodzenia, które naturalnie i nieuchronnie występuje w wyniku normalnego zużycia lub starzenia wyrobu. </w:t>
      </w:r>
    </w:p>
    <w:p w14:paraId="6B781E3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2B170A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37:</w:t>
      </w:r>
    </w:p>
    <w:p w14:paraId="621FC15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5 ust. 5 oraz § 5 ust. 11 Umowy dotyczących przedłużenie okresu obowiązywania gwarancji:</w:t>
      </w:r>
    </w:p>
    <w:p w14:paraId="7749C17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przewiduje możliwość usunięcia z Umowy przedmiotowych zapisów?</w:t>
      </w:r>
    </w:p>
    <w:p w14:paraId="638F99F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37:</w:t>
      </w:r>
    </w:p>
    <w:p w14:paraId="171196E2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pozostaje przy zapisach zwartych w SWZ.</w:t>
      </w:r>
    </w:p>
    <w:p w14:paraId="18D617E6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5F8415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38:</w:t>
      </w:r>
    </w:p>
    <w:p w14:paraId="335AF5F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5 ust. 12 pkt. 1 i 2 Umowy dotyczącego procesu naprawy/wymiany wyrobów:</w:t>
      </w:r>
    </w:p>
    <w:p w14:paraId="4399EFF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sformułowanie „usprawni wadliwe wyroby” jest równoważne z „naprawą wyrobów” / „usunięciem wad”?</w:t>
      </w:r>
    </w:p>
    <w:p w14:paraId="0398F47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38:</w:t>
      </w:r>
    </w:p>
    <w:p w14:paraId="1DE813A3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3" w:name="_Hlk192746313"/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potwierdza, że określenie zastosowane ust. 12 pkt. 1 i 2 § 5 Części nr II SWZ – Projektowane postanowienia umowy, tj. „usprawni wadliwe wyroby” jest równoważne z określeniami „naprawą wyrobów” oraz „usunięciem wad”?</w:t>
      </w:r>
    </w:p>
    <w:bookmarkEnd w:id="3"/>
    <w:p w14:paraId="6B461ED7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Arial" w:hAnsi="Times New Roman" w:cs="Times New Roman"/>
          <w:color w:val="000000"/>
          <w:kern w:val="0"/>
          <w:szCs w:val="20"/>
          <w:lang w:eastAsia="pl-PL"/>
          <w14:ligatures w14:val="none"/>
        </w:rPr>
      </w:pPr>
    </w:p>
    <w:p w14:paraId="7C1A1B02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  <w:t>Pytanie nr 39:</w:t>
      </w:r>
    </w:p>
    <w:p w14:paraId="108B1424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  <w:t>W zakresie § 8 ust. 2 Umowy, przewidującego dzienną stawkę kary umownej:</w:t>
      </w:r>
    </w:p>
    <w:p w14:paraId="429058A8" w14:textId="77777777" w:rsidR="00C045BC" w:rsidRPr="00C045BC" w:rsidRDefault="00C045BC" w:rsidP="00C045BC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outlineLvl w:val="4"/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  <w:t>Czy maksymalny okres za który może zostać nałożona kara umowna wynosi 14 dni (tj. od dnia następującego po dniu w którym Umowa winna być zrealizowana do 14 dnia następującego po dniu wykonania Umowy)?</w:t>
      </w:r>
    </w:p>
    <w:p w14:paraId="36A60BFC" w14:textId="77777777" w:rsidR="00C045BC" w:rsidRPr="00C045BC" w:rsidRDefault="00C045BC" w:rsidP="00C045BC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outlineLvl w:val="4"/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  <w:t>Jeśli nie, to jaki jest maksymalny okres objęty karą umowną?</w:t>
      </w:r>
    </w:p>
    <w:p w14:paraId="1B268C0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Odpowiedź nr 39:</w:t>
      </w:r>
    </w:p>
    <w:p w14:paraId="30D7AFD5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Zamawiający w § 13 Części nr II do SWZ – Projektowane postanowienia umowy, określił maksymalny termin uprawniający Zamawiającego do odstąpienia od realizacji umowy.</w:t>
      </w:r>
    </w:p>
    <w:p w14:paraId="5D814170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2B85555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40:</w:t>
      </w:r>
    </w:p>
    <w:p w14:paraId="34AE6A1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8 ust. 3 i ust. 5 Umowy dotyczących wystąpienia przypadków siły wyższej:</w:t>
      </w:r>
    </w:p>
    <w:p w14:paraId="2228770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dopuszcza zmianę przedmiotowych zapisów, iż w przypadku wystąpienia okoliczności wskazanych w § 8 ust. 3 Umowy, Zamawiający: (i) nie będzie miał prawa odstąpienia od Umowy oraz (ii) nie będzie miał prawa nałożenia kar umownych (zamiast uprawnienia po stronie Zamawiającego do niekorzystania z prawa odstąpienia od Umowy i nałożenia kar umownych. Okoliczności siły wyższej są bowiem okolicznościami niezależnymi od Wykonawcy)?</w:t>
      </w:r>
    </w:p>
    <w:p w14:paraId="056C1C3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40:</w:t>
      </w:r>
    </w:p>
    <w:p w14:paraId="1F844D4B" w14:textId="77777777" w:rsidR="00C045BC" w:rsidRPr="00C045BC" w:rsidRDefault="00C045BC" w:rsidP="00C045BC">
      <w:pPr>
        <w:spacing w:after="24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pozostaje przy zapisach zwartych w SWZ.</w:t>
      </w:r>
    </w:p>
    <w:p w14:paraId="3195F6C3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41:</w:t>
      </w:r>
    </w:p>
    <w:p w14:paraId="6128596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8 ust. 6 Umowy, nakładającego na Wykonawcę karę umowną, w przypadku odstąpienia od Umowy przez Wykonawcę:</w:t>
      </w:r>
    </w:p>
    <w:p w14:paraId="63F99D1A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dopuszcza zmianę przedmiotowego zapisu poprzez dodanie zapisu „chyba że odstąpienie od Umowy przez Wykonawcę, będzie skutkiem okoliczności leżących po stronie Zamawiającego”?</w:t>
      </w:r>
    </w:p>
    <w:p w14:paraId="7A0CD77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lastRenderedPageBreak/>
        <w:t xml:space="preserve">Odpowiedź nr 41: </w:t>
      </w:r>
    </w:p>
    <w:p w14:paraId="59B3EFF0" w14:textId="77777777" w:rsidR="00C045BC" w:rsidRPr="00C045BC" w:rsidRDefault="00C045BC" w:rsidP="00C045BC">
      <w:pPr>
        <w:spacing w:after="24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pozostaje przy zapisach zwartych w SWZ.</w:t>
      </w:r>
    </w:p>
    <w:p w14:paraId="6708AB11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42:</w:t>
      </w:r>
    </w:p>
    <w:p w14:paraId="5297A60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9 ust. 2 Umowy dotyczącego zakazu cesji wierzytelności bez zgody Zamawiającego:</w:t>
      </w:r>
    </w:p>
    <w:p w14:paraId="1ECA6318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dopuszcza możliwość usunięcia przedmiotowego zapisu lub alternatywnie ograniczenia przedmiotowego zapisu poprzez dodanie katalogu podmiotów uprawnionych na rzecz których Wykonawca będzie mógł dokonać cesji wierzytelności?</w:t>
      </w:r>
    </w:p>
    <w:p w14:paraId="55485AC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42:</w:t>
      </w:r>
    </w:p>
    <w:p w14:paraId="53D01E19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</w:pPr>
      <w:r w:rsidRPr="00C045BC"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  <w:t>Zamawiający pozostaje przy zapisach zwartych w SWZ.</w:t>
      </w:r>
    </w:p>
    <w:p w14:paraId="721F84B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</w:pPr>
    </w:p>
    <w:p w14:paraId="3E324B73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43:</w:t>
      </w:r>
    </w:p>
    <w:p w14:paraId="2A8549D4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10 ust. 4 Umowy:</w:t>
      </w:r>
    </w:p>
    <w:p w14:paraId="566E15B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Jak Zamawiający rozumie (definicja) pojęcie „obcokrajowca”?</w:t>
      </w:r>
    </w:p>
    <w:p w14:paraId="584312A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43:</w:t>
      </w:r>
    </w:p>
    <w:p w14:paraId="2030357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poprzez pojęcie obcokrajowiec rozumie cudzoziemca, osobę fizyczną, która nie posiada obywatelstwa polskiego, zgodnie z definicją użytą w art. 3 ustawy z dnia 12 grudnia 2013 roku o cudzoziemcach (</w:t>
      </w:r>
      <w:proofErr w:type="spellStart"/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Dz.U. z 2024 r., poz. 769, 1222, 1688).</w:t>
      </w:r>
    </w:p>
    <w:p w14:paraId="7480D08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CDB0C1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44:</w:t>
      </w:r>
    </w:p>
    <w:p w14:paraId="4A02959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12 ust. 1 pkt. 4 Umowy:</w:t>
      </w:r>
    </w:p>
    <w:p w14:paraId="60315B2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dopuszcza możliwość usunięcia zapisu „bądź zmianą wytycznych (poleceń) przełożonych Zamawiającego”?</w:t>
      </w:r>
    </w:p>
    <w:p w14:paraId="6083DCA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44:</w:t>
      </w:r>
    </w:p>
    <w:p w14:paraId="3DB611C5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</w:pPr>
      <w:r w:rsidRPr="00C045BC"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  <w:t>Zamawiający pozostaje przy zapisach zwartych w SWZ.</w:t>
      </w:r>
    </w:p>
    <w:p w14:paraId="0CD49780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</w:pPr>
    </w:p>
    <w:p w14:paraId="52C4B050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  <w:t>Pytanie nr 45:</w:t>
      </w:r>
    </w:p>
    <w:p w14:paraId="5EACCA59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  <w:t>W zakresie § 13 Umowy dotyczącego prawa odstąpienia od Umowy:</w:t>
      </w:r>
    </w:p>
    <w:p w14:paraId="25DB97A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  <w:t>Czy uprawnienia z § 8 ust. 1 Umowy i § 13 ust. 1 pkt. 1 Umowy są niezależne od siebie, czy też § 13 ust. 1 pkt. 1 Umowy jest uzupełnieniem treści § 8 ust.1 Umowy (a więc dodaje do niego termin 14 dniowego opóźnienia zanim Zamawiający będzie mógł skorzystać z uprawnienia odstąpienia od Umowy)?</w:t>
      </w:r>
    </w:p>
    <w:p w14:paraId="070CFF71" w14:textId="48EEA6AE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18B0556A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Odpowiedź nr 45:</w:t>
      </w:r>
    </w:p>
    <w:p w14:paraId="3FC9824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Uprawnienie wynikające z zapisów § 8 oraz § 13 Części nr II do SWZ – Projektowane postanowienia umowy wzajemnie się uzupełniają.</w:t>
      </w:r>
    </w:p>
    <w:p w14:paraId="30987FB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677A39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46:</w:t>
      </w:r>
    </w:p>
    <w:p w14:paraId="4DC8BD24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13 Umowy dotyczącego prawa odstąpienia od Umowy:</w:t>
      </w:r>
    </w:p>
    <w:p w14:paraId="290CDF27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dopuszcza zmianę § 13 ust. 1 pkt. 2 poprzez ograniczenie zastosowania przedmiotowego przepisu do istotnych naruszeń?</w:t>
      </w:r>
    </w:p>
    <w:p w14:paraId="6DD9A32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46:</w:t>
      </w:r>
    </w:p>
    <w:p w14:paraId="5155BE2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Zamawiający pozostaje przy zapisach zwartych w SWZ.</w:t>
      </w:r>
    </w:p>
    <w:p w14:paraId="616DB377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</w:p>
    <w:p w14:paraId="488AC461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47:</w:t>
      </w:r>
    </w:p>
    <w:p w14:paraId="0E9CA983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13 Umowy dotyczącego prawa odstąpienia od Umowy:</w:t>
      </w:r>
    </w:p>
    <w:p w14:paraId="2B1FCC2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dopuszcza zmianę § 13 ust. 1 pkt. 2 i 3 Umowy poprzez określenie w nich minimalnego terminu wezwania Wykonawcy do podjęcia działań lub usunięcia naruszeń np. terminu 7 (siedmiu) czy 14 (czternastu) dni?</w:t>
      </w:r>
    </w:p>
    <w:p w14:paraId="7DE6B0A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47:</w:t>
      </w:r>
    </w:p>
    <w:p w14:paraId="1614E0E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</w:pPr>
      <w:r w:rsidRPr="00C045BC"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  <w:t>Zamawiający pozostaje przy zapisach zwartych w SWZ.</w:t>
      </w:r>
    </w:p>
    <w:p w14:paraId="3A03A6F3" w14:textId="77777777" w:rsidR="00C045BC" w:rsidRPr="00C045BC" w:rsidRDefault="00C045BC" w:rsidP="00C045BC">
      <w:pPr>
        <w:spacing w:after="0" w:line="276" w:lineRule="auto"/>
        <w:ind w:left="426"/>
        <w:contextualSpacing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</w:p>
    <w:p w14:paraId="39288D3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48:</w:t>
      </w:r>
    </w:p>
    <w:p w14:paraId="63BF82F9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13 Umowy dotyczącego prawa odstąpienia od Umowy:</w:t>
      </w:r>
    </w:p>
    <w:p w14:paraId="45108989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Co Zamawiający rozumie poprzez pojęcie „nakazu zajęcia majątku Wykonawcy”?</w:t>
      </w:r>
    </w:p>
    <w:p w14:paraId="26792902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48:</w:t>
      </w:r>
    </w:p>
    <w:p w14:paraId="1126FC3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ahoma"/>
          <w:kern w:val="0"/>
          <w:szCs w:val="20"/>
          <w:lang w:eastAsia="pl-PL"/>
          <w14:ligatures w14:val="none"/>
        </w:rPr>
        <w:t>Zawarte w projekcie umowy pojęcie "nakazu zajęcia majątku Wykonawcy" jako jednej z przesłanek odstąpienia przez Zamawiającego od umowy odnosi się tylko do takiej sytuacji gdy owo zajęcie uniemożliwia Wykonawcy wykonanie przedmiotu zamówienia.</w:t>
      </w:r>
    </w:p>
    <w:p w14:paraId="1FA645DD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</w:p>
    <w:p w14:paraId="48D2E323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49:</w:t>
      </w:r>
    </w:p>
    <w:p w14:paraId="5D6083D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13 Umowy dotyczącego prawa odstąpienia od Umowy:</w:t>
      </w:r>
    </w:p>
    <w:p w14:paraId="5AAFA06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poprzez pojęcie „podwykonawcy” rozumie również firmę kurierską dostarczającą wyroby?</w:t>
      </w:r>
    </w:p>
    <w:p w14:paraId="1EAA926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49:</w:t>
      </w:r>
    </w:p>
    <w:p w14:paraId="10C019B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poprzez pojęcie :podwykonawca” rozumie takiego wykonawcę, który zawrze umowę o wykonanie części przedmiotu zamówienia umowy z innym wykonawcą.</w:t>
      </w:r>
    </w:p>
    <w:p w14:paraId="34A8661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Tym samym, do podwykonawstwa nie będzie można zaliczyć świadczenia usług czy dostaw związanych z obsługą danego wykonawcy, która odbywa się bez względu na to, czy realizuje on umowę w sprawie zamówienia publicznego, czy też nie, jak np. usługi księgowe, transportowe, ubezpieczeniowe, itp.</w:t>
      </w:r>
    </w:p>
    <w:p w14:paraId="3B605E1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Ponadto do zakresu podwykonawstwa nie można zaliczyć takich usług czy dostaw, które są w prawdzie niezbędne dla prawidłowej realizacji umowy, ale nie stanowią o głównym celu spełnienia świadczenia.</w:t>
      </w:r>
    </w:p>
    <w:p w14:paraId="62A6D444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2A22D9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50:</w:t>
      </w:r>
    </w:p>
    <w:p w14:paraId="2C87B91F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W zakresie § 15 ust. 1 Umowy tj. „Wszelkie zobowiązania wynikające z praw własności przemysłowej, w szczególności patentów, praw ochronnych, jak również praw autorskich oraz praw pokrewnych, ponosi Wykonawca.”:</w:t>
      </w:r>
    </w:p>
    <w:p w14:paraId="6DD5AF6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Prosimy uprzejmie o wyjaśnienie do jakich zobowiązań nawiązuje Wykonawca?</w:t>
      </w:r>
    </w:p>
    <w:p w14:paraId="39B60344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50:</w:t>
      </w:r>
    </w:p>
    <w:p w14:paraId="16A81841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</w:pPr>
      <w:r w:rsidRPr="00C045BC">
        <w:rPr>
          <w:rFonts w:ascii="Times New Roman" w:eastAsia="Arial" w:hAnsi="Times New Roman" w:cs="Times New Roman"/>
          <w:kern w:val="0"/>
          <w:szCs w:val="20"/>
          <w:lang w:eastAsia="pl-PL"/>
          <w14:ligatures w14:val="none"/>
        </w:rPr>
        <w:t>Zamawiający pozostaje przy zapisach zwartych w SWZ.</w:t>
      </w:r>
    </w:p>
    <w:p w14:paraId="49B73334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14343792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51:</w:t>
      </w:r>
    </w:p>
    <w:p w14:paraId="3244A22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lastRenderedPageBreak/>
        <w:t>W zakresie § 15 ust. 1 Umowy tj. „Wszelkie zobowiązania wynikające z praw własności przemysłowej, w szczególności patentów, praw ochronnych, jak również praw autorskich oraz praw pokrewnych, ponosi Wykonawca.”:</w:t>
      </w:r>
    </w:p>
    <w:p w14:paraId="0E0E4C6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Czy Zamawiający dopuszcza możliwość usunięcia przedmiotowego zapisu, jako iż zdaniem Wykonawcy nie znajduje on zastosowania do niniejszej Umowy?</w:t>
      </w: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596AE4A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51:</w:t>
      </w:r>
    </w:p>
    <w:p w14:paraId="10A92BA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4" w:name="_Hlk193482978"/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pozostaje przy zapisach zwartych w SWZ.</w:t>
      </w:r>
    </w:p>
    <w:bookmarkEnd w:id="4"/>
    <w:p w14:paraId="44FD1058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</w:p>
    <w:p w14:paraId="3B68D5E9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52:</w:t>
      </w:r>
    </w:p>
    <w:p w14:paraId="3FE33299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zgodnie z § 4 ust. 1 pkt. 6) Umowy tj. „w przypadku stwierdzenia jakichkolwiek wad wyrobów Zamawiający odmówi podpisania Protokołu przyjęcia-przekazania”:</w:t>
      </w:r>
    </w:p>
    <w:p w14:paraId="0A18E117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Zamawiający może odmówić przyjęcia wszystkich wyrobów nawet jeżeli tylko jeden wyrób / kilka wyrobów posiada wady fizyczne?</w:t>
      </w:r>
    </w:p>
    <w:p w14:paraId="777FEA19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52:</w:t>
      </w:r>
    </w:p>
    <w:p w14:paraId="0144AA83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zapisami zawartymi w § 3 ust. 3 Części nr II do SWZ – Projektowane postanowienia umowy, Zamawiający dopuszcza możliwość dostarczenia przedmiotu zamówienia umowy w podziale na części (tj. kompletnych zestawów), przy czym realizacja konkretnej części musi nastąpić jednorazowo, a termin realizacji przedmiotu umowy nie może przekroczyć terminu określonego w ust 1 niniejszego paragrafu.</w:t>
      </w:r>
    </w:p>
    <w:p w14:paraId="424E0695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</w:p>
    <w:p w14:paraId="465F554D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53:</w:t>
      </w:r>
    </w:p>
    <w:p w14:paraId="525841B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zgodnie z § 4 ust. 1 pkt. 6) Umowy tj. „w przypadku stwierdzenia jakichkolwiek wad wyrobów Zamawiający odmówi podpisania Protokołu przyjęcia-przekazania”:</w:t>
      </w:r>
    </w:p>
    <w:p w14:paraId="1EDED68A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Czy Zamawiający dopuszcza zmianę przedmiotowego zapisu na odmowę przyjęcia wyłącznie wadliwych wyrobów? (tj. pozostałe niewadliwe zostaną przez niego przyjęte)?</w:t>
      </w:r>
    </w:p>
    <w:p w14:paraId="65D92EAB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53:</w:t>
      </w:r>
    </w:p>
    <w:p w14:paraId="57E03B59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pozostaje przy zapisach zwartych w SWZ.</w:t>
      </w:r>
    </w:p>
    <w:p w14:paraId="5051AE6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89BB267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54:</w:t>
      </w:r>
    </w:p>
    <w:p w14:paraId="3817FA3A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zgodnie z § 4 ust. 1 pkt. 6) Umowy tj. „w przypadku stwierdzenia jakichkolwiek wad wyrobów Zamawiający odmówi podpisania Protokołu przyjęcia-przekazania”:</w:t>
      </w:r>
    </w:p>
    <w:p w14:paraId="0AE750A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Czy pojęcie „jakiejkolwiek wady wyrobów” obejmuje również drobne wady wyrobów takie jak np. brak folii na urządzeniu, drobne rysy na urządzeniu czy też brak kabla zasilającego? W szczególności w sytuacji gdy Wykonawca dostał takie urządzenia od producenta i w takim samym stanie w jakim dostał je od producenta przekazał Zamawiającemu?</w:t>
      </w:r>
    </w:p>
    <w:p w14:paraId="670CBD86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54:</w:t>
      </w:r>
    </w:p>
    <w:p w14:paraId="6ECFAEB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wymaga aby dostarczone wyroby spełniały wymagania zwarte w SWZ, w szczególności opisane w Części nr III do SWZ – Opis przedmiotu zamówienia, tj. wyroby kompletne i nieuszkodzone, wolne od jakichkolwiek wad.</w:t>
      </w:r>
    </w:p>
    <w:p w14:paraId="306FB2E6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2EEF68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55:</w:t>
      </w:r>
    </w:p>
    <w:p w14:paraId="4BA3380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zgodnie z § 4 ust. 1 pkt. 6) Umowy tj. „w przypadku stwierdzenia jakichkolwiek wad wyrobów Zamawiający odmówi podpisania Protokołu przyjęcia-przekazania”:</w:t>
      </w:r>
    </w:p>
    <w:p w14:paraId="4FAA51AB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lastRenderedPageBreak/>
        <w:t>Czy Zamawiający dopuszcza zmianę zapisu „stwierdzenia jakichkolwiek wad wyrobów” na „stwierdzenia istotnych wad wyrobów” lub dodanie zapisu „z wyłączeniem nieistotnych wad, niewynikających z winy Wykonawcy, takich jak np. braki folii czy akcesoriów załączonych do wyrobów. Przedmiotowe braki zostaną niezwłocznie usunięte przez Wykonawcę po dokonaniu dostawy.”</w:t>
      </w:r>
    </w:p>
    <w:p w14:paraId="540BEC21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bookmarkStart w:id="5" w:name="_Hlk193480747"/>
      <w:r w:rsidRPr="00C045B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Odpowiedź nr 55:</w:t>
      </w:r>
    </w:p>
    <w:bookmarkEnd w:id="5"/>
    <w:p w14:paraId="686E941D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Zamawiający pozostaje przy zapisach zwartych w SWZ.</w:t>
      </w:r>
    </w:p>
    <w:p w14:paraId="75350C7A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</w:pPr>
    </w:p>
    <w:p w14:paraId="0F2C8C66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</w:pPr>
      <w:bookmarkStart w:id="6" w:name="_Hlk193480768"/>
      <w:r w:rsidRPr="00C045BC"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pl-PL"/>
          <w14:ligatures w14:val="none"/>
        </w:rPr>
        <w:t>Pytanie nr 56:</w:t>
      </w:r>
    </w:p>
    <w:p w14:paraId="3B12E412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color w:val="000000"/>
          <w:kern w:val="0"/>
          <w:shd w:val="clear" w:color="auto" w:fill="FFFFFF"/>
          <w14:ligatures w14:val="none"/>
        </w:rPr>
        <w:t>Czy Zamawiający jest w stanie określić moc ładowarki, którą należy dostarczyć dla każdego z zadań?</w:t>
      </w:r>
    </w:p>
    <w:p w14:paraId="5EC45729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56:</w:t>
      </w:r>
    </w:p>
    <w:bookmarkEnd w:id="6"/>
    <w:p w14:paraId="2D50AAD2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wymaga zaoferowania ładowarki o mocy nie mniejszej niż 25W, przy zachowaniu pozostałych wymagań zwartych w SWZ.</w:t>
      </w:r>
    </w:p>
    <w:p w14:paraId="0AB5F57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975C8F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57:</w:t>
      </w:r>
    </w:p>
    <w:p w14:paraId="26C68A8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Zamawiający dopuści etui do urządzeń w kolorze transparentnym, spełniające wszystkie pozostałe wymagania.</w:t>
      </w:r>
    </w:p>
    <w:p w14:paraId="29BC4551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57:</w:t>
      </w:r>
    </w:p>
    <w:p w14:paraId="36BBFA39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dopuszcza możliwość zaoferowania etui w kolorze przezroczystym lub transparentnym, przy zachowaniu pozostałych wymagań zwartych w SWZ.</w:t>
      </w:r>
    </w:p>
    <w:p w14:paraId="647B2AF8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</w:p>
    <w:p w14:paraId="642C4E8C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58:</w:t>
      </w:r>
    </w:p>
    <w:p w14:paraId="12CE44A0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Odnosząc się do Państwa odpowiedzi "Odpowiedź nr 22:</w:t>
      </w:r>
    </w:p>
    <w:p w14:paraId="0E2B79F5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Zamawiający będzie rejestrował urządzenia na platformie np. : Knox , we własnym zakresie".</w:t>
      </w:r>
    </w:p>
    <w:p w14:paraId="34F25896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Informujemy iż, wyłącznie oficjalny kanał dystrybucyjny umożliwia dodanie urządzeń do systemu KONX przez dostawcę. Zamawiający nie ma możliwości wprowadzenia do tego systemu urządzeń pochodzących z nieautoryzowanego kanału dystrybucyjnego. W związku z tym, urządzenia mogą być dodane tylko przez oficjalnego (autoryzowanego) partnera Samsunga. Prosimy o zmianę zapisu.</w:t>
      </w:r>
    </w:p>
    <w:p w14:paraId="503D4F41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58:</w:t>
      </w:r>
    </w:p>
    <w:p w14:paraId="5B16458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podtrzymuje treść odpowiedzi w przedmiotowym zakresie, udzielonej w dniu 14.03.2025 r.</w:t>
      </w:r>
    </w:p>
    <w:p w14:paraId="7BB6A27B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</w:p>
    <w:p w14:paraId="2884488D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59:</w:t>
      </w:r>
    </w:p>
    <w:p w14:paraId="75E00ED4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Czy do modelu Smartfon SP2 dopuszczają Państwo zaproponowanie etui w kolorze przezroczystym?</w:t>
      </w:r>
    </w:p>
    <w:p w14:paraId="2FA5D167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Uzasadnienie:</w:t>
      </w:r>
    </w:p>
    <w:p w14:paraId="075F35F6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Jesteśmy w po kontakcie z producentami akcesoriów i nikt nie jest w stanie dostarczyć etui w ciemnym kolorze spełniającym kryteria tj. MIL- STD- 810G-516. Telefony są dostępne więc umożliwienie zaoferowania etui w kolorze przezroczystym pozwoli na złożenie oferty.</w:t>
      </w:r>
    </w:p>
    <w:p w14:paraId="6AA5D42A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59:</w:t>
      </w:r>
    </w:p>
    <w:p w14:paraId="76C93921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7" w:name="_Hlk193481213"/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Zamawiający dopuszcza możliwość zaoferowania etui w kolorze przezroczystym lub transparentnym, przy zachowaniu pozostałych wymagań zwartych w SWZ.</w:t>
      </w:r>
    </w:p>
    <w:p w14:paraId="72A0CB1A" w14:textId="77777777" w:rsidR="00C045BC" w:rsidRPr="00C045BC" w:rsidRDefault="00C045BC" w:rsidP="00C045BC">
      <w:pPr>
        <w:spacing w:after="0" w:line="276" w:lineRule="auto"/>
        <w:outlineLvl w:val="4"/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</w:pPr>
      <w:bookmarkStart w:id="8" w:name="_GoBack"/>
      <w:bookmarkEnd w:id="7"/>
      <w:bookmarkEnd w:id="8"/>
      <w:r w:rsidRPr="00C045BC">
        <w:rPr>
          <w:rFonts w:ascii="Times New Roman" w:eastAsia="Times New Roman" w:hAnsi="Times New Roman" w:cs="Times New Roman"/>
          <w:b/>
          <w:i/>
          <w:kern w:val="0"/>
          <w:u w:val="single"/>
          <w:lang w:eastAsia="pl-PL"/>
          <w14:ligatures w14:val="none"/>
        </w:rPr>
        <w:t>Pytanie nr 60:</w:t>
      </w:r>
    </w:p>
    <w:p w14:paraId="1D9C9C7C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 xml:space="preserve">Zwracamy się z prośbą o zmianę terminu składania ofert i wyznaczenie go nie wcześniej niż na dzień 31.03.2025 r. </w:t>
      </w:r>
    </w:p>
    <w:p w14:paraId="1C2BF43A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 xml:space="preserve">Prośba nasza podyktowana jest potrzebą uzyskania potwierdzenia dostaw oraz dokładnej wyceny sprzętu i akcesoriów dla niniejszego postępowania. </w:t>
      </w:r>
    </w:p>
    <w:p w14:paraId="5D450ADE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</w:pPr>
      <w:r w:rsidRPr="00C045BC">
        <w:rPr>
          <w:rFonts w:ascii="Times New Roman" w:eastAsia="Calibri" w:hAnsi="Times New Roman" w:cs="Times New Roman"/>
          <w:i/>
          <w:kern w:val="0"/>
          <w:shd w:val="clear" w:color="auto" w:fill="FFFFFF"/>
          <w14:ligatures w14:val="none"/>
        </w:rPr>
        <w:t>Przesunięcie terminu składania ofert o wnioskowany czas umożliwi nam przygotowanie rzetelnej oferty, która wcześniej musi zostać też zatwierdzona w wewnętrznych strukturach naszej organizacji.</w:t>
      </w:r>
    </w:p>
    <w:p w14:paraId="3CBED086" w14:textId="77777777" w:rsidR="00C045BC" w:rsidRPr="00C045BC" w:rsidRDefault="00C045BC" w:rsidP="00C045BC">
      <w:pPr>
        <w:spacing w:after="0" w:line="276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Odpowiedź nr 60:</w:t>
      </w:r>
    </w:p>
    <w:p w14:paraId="7F527167" w14:textId="77777777" w:rsidR="00C045BC" w:rsidRPr="00C045BC" w:rsidRDefault="00C045BC" w:rsidP="00C045BC">
      <w:pPr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zmienia termin składania ofert do dnia 01.04.2025 r. godz. 10</w:t>
      </w:r>
      <w:r w:rsidRPr="00C045B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00</w:t>
      </w: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18D57C9F" w14:textId="77777777" w:rsidR="00C045BC" w:rsidRPr="00C045BC" w:rsidRDefault="00C045BC" w:rsidP="00C045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Zmianie ulega także:</w:t>
      </w:r>
    </w:p>
    <w:p w14:paraId="511AB182" w14:textId="77777777" w:rsidR="00C045BC" w:rsidRPr="00C045BC" w:rsidRDefault="00C045BC" w:rsidP="00C045BC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związania ofertą, który rozpoczyna się wraz z upływem terminu składania ofert;</w:t>
      </w:r>
    </w:p>
    <w:p w14:paraId="0818A897" w14:textId="77777777" w:rsidR="00C045BC" w:rsidRPr="00C045BC" w:rsidRDefault="00C045BC" w:rsidP="00C045B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będzie związany ofertą przez okres 90 dni, tj. do dnia 29.06.2025 r;</w:t>
      </w:r>
    </w:p>
    <w:p w14:paraId="35084C99" w14:textId="77777777" w:rsidR="00C045BC" w:rsidRPr="00C045BC" w:rsidRDefault="00C045BC" w:rsidP="00C045BC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otwarcia ofert, które odbędzie się dnia 01.04.2025 r. o godz. 10</w:t>
      </w:r>
      <w:r w:rsidRPr="00C045B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15</w:t>
      </w:r>
      <w:r w:rsidRPr="00C045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1D57C67" w14:textId="77777777" w:rsidR="006533E8" w:rsidRPr="006533E8" w:rsidRDefault="006533E8" w:rsidP="006533E8">
      <w:pPr>
        <w:jc w:val="both"/>
        <w:rPr>
          <w:rFonts w:ascii="Times New Roman" w:hAnsi="Times New Roman" w:cs="Times New Roman"/>
        </w:rPr>
      </w:pPr>
    </w:p>
    <w:sectPr w:rsidR="006533E8" w:rsidRPr="0065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C0C"/>
    <w:multiLevelType w:val="hybridMultilevel"/>
    <w:tmpl w:val="27020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B13FF"/>
    <w:multiLevelType w:val="hybridMultilevel"/>
    <w:tmpl w:val="36DCF7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5E5D6E"/>
    <w:multiLevelType w:val="hybridMultilevel"/>
    <w:tmpl w:val="67BE4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11B5F"/>
    <w:multiLevelType w:val="hybridMultilevel"/>
    <w:tmpl w:val="BB5AEF28"/>
    <w:lvl w:ilvl="0" w:tplc="FE42E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7188"/>
    <w:multiLevelType w:val="hybridMultilevel"/>
    <w:tmpl w:val="1B9CAD7E"/>
    <w:lvl w:ilvl="0" w:tplc="CFACA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1E"/>
    <w:rsid w:val="0003062F"/>
    <w:rsid w:val="004D7575"/>
    <w:rsid w:val="006533E8"/>
    <w:rsid w:val="0068722D"/>
    <w:rsid w:val="00862678"/>
    <w:rsid w:val="00996E1E"/>
    <w:rsid w:val="00A8366A"/>
    <w:rsid w:val="00BD576A"/>
    <w:rsid w:val="00C045BC"/>
    <w:rsid w:val="00E521E9"/>
    <w:rsid w:val="00E6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AD35"/>
  <w15:chartTrackingRefBased/>
  <w15:docId w15:val="{6F168AD9-19CD-4829-B827-6F97634D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E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E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E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E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E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E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E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E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E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E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1964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Kolasa</dc:creator>
  <cp:keywords/>
  <dc:description/>
  <cp:lastModifiedBy>Kolasa Monika</cp:lastModifiedBy>
  <cp:revision>8</cp:revision>
  <cp:lastPrinted>2025-03-14T11:52:00Z</cp:lastPrinted>
  <dcterms:created xsi:type="dcterms:W3CDTF">2025-02-25T07:56:00Z</dcterms:created>
  <dcterms:modified xsi:type="dcterms:W3CDTF">2025-03-24T09:27:00Z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3" name="bjDocumentLabelXML-0">
    <vt:lpwstr>ames.com/2008/01/sie/internal/label"&gt;&lt;element uid="d7220eed-17a6-431d-810c-83a0ddfed893" value="" /&gt;&lt;/sisl&gt;</vt:lpwstr>
  </property>
  <property fmtid="{D5CDD505-2E9C-101B-9397-08002B2CF9AE}" pid="4" name="bjLabelRefreshRequired">
    <vt:lpwstr>FileClassifier</vt:lpwstr>
  </property>
</Properties>
</file>