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E4A1" w14:textId="0BCF27D0" w:rsidR="008A0A76" w:rsidRDefault="008A0A76" w:rsidP="00486125">
      <w:pPr>
        <w:jc w:val="both"/>
      </w:pPr>
      <w:r>
        <w:t>1)</w:t>
      </w:r>
      <w:r>
        <w:tab/>
        <w:t>Wykonawca wnosi o potwierdzenie, że umowa o udzieleniu zamówienia, jak również jednostkowe umowy o świadczenie usług telekomunikacyjnych zawierane będą na wzorze zaproponowanym przez wykonawcę, którego oferta uznana zostanie za ofertę najkorzystniejszą w postępowaniu?</w:t>
      </w:r>
    </w:p>
    <w:p w14:paraId="253714AE" w14:textId="0FFE22C1" w:rsidR="00551CE3" w:rsidRDefault="00551CE3" w:rsidP="00486125">
      <w:pPr>
        <w:jc w:val="both"/>
      </w:pPr>
      <w:r>
        <w:t xml:space="preserve">Zamawiający potwierdza zawarcie Umowy na wzorze zaproponowanym przez Wykonawcę.  </w:t>
      </w:r>
    </w:p>
    <w:p w14:paraId="0C4ECF74" w14:textId="238805E1" w:rsidR="008A0A76" w:rsidRDefault="008A0A76" w:rsidP="00486125">
      <w:pPr>
        <w:jc w:val="both"/>
      </w:pPr>
      <w:r>
        <w:t>2)</w:t>
      </w:r>
      <w:r>
        <w:tab/>
        <w:t>Wykonawca wnosi o doprecyzowanie sposobu dostarczenia kart SIM. Czy Zamawiający wymaga dostarczenia nieaktywnych kart SIM do swojej siedziby (co jest praktyką stosowaną przez operatorów mającą na celu zapewnienie bezpieczeństwa) czy też wymaga dostarczenia aktywnych kart SIM tak jak to napisał w pkt II 3 OPZ?</w:t>
      </w:r>
    </w:p>
    <w:p w14:paraId="34565252" w14:textId="4BD063C1" w:rsidR="00551CE3" w:rsidRDefault="00551CE3" w:rsidP="00486125">
      <w:pPr>
        <w:jc w:val="both"/>
      </w:pPr>
      <w:r>
        <w:t xml:space="preserve">Zamawiający wymaga dostarczenia nieaktywnych kart SIM do swojej siedziby. </w:t>
      </w:r>
    </w:p>
    <w:p w14:paraId="46795C3F" w14:textId="148FBD1B" w:rsidR="008A0A76" w:rsidRDefault="008A0A76" w:rsidP="00486125">
      <w:pPr>
        <w:jc w:val="both"/>
      </w:pPr>
      <w:r>
        <w:t>3)</w:t>
      </w:r>
      <w:r>
        <w:tab/>
        <w:t xml:space="preserve">W związku z treścią pkt II </w:t>
      </w:r>
      <w:proofErr w:type="spellStart"/>
      <w:r>
        <w:t>ppkt</w:t>
      </w:r>
      <w:proofErr w:type="spellEnd"/>
      <w:r>
        <w:t xml:space="preserve"> 6 OPZ Wykonawca wnosi o potwierdzenie, że  dostępność sieci i usług dla użytkowników będzie oceniana zgodnie z mapami zasięgu dostępnymi na stronach WWW Wykonawcy.</w:t>
      </w:r>
    </w:p>
    <w:p w14:paraId="69566E0D" w14:textId="0F8854D0" w:rsidR="00551CE3" w:rsidRDefault="00551CE3" w:rsidP="00486125">
      <w:pPr>
        <w:jc w:val="both"/>
      </w:pPr>
      <w:r>
        <w:t xml:space="preserve">Zamawiający potwierdza ocenę dostępności sieci zgodnie z mapami zasięgu dostępnymi na stronach WWW Wykonawcy. </w:t>
      </w:r>
    </w:p>
    <w:p w14:paraId="38D4C530" w14:textId="7C2A6030" w:rsidR="008A0A76" w:rsidRDefault="008A0A76" w:rsidP="00486125">
      <w:pPr>
        <w:jc w:val="both"/>
      </w:pPr>
      <w:r>
        <w:t>4)</w:t>
      </w:r>
      <w:r>
        <w:tab/>
        <w:t>W związku z treścią pkt 2 pkt II OPZ Wykonawca wnosi o potwierdzenie, że identyfikacja numeru dzwoniącego dotyczy tylko tych numerów, które nie są zastrzeżone zgodnie z art. 171 ustawy prawo telekomunikacyjne.</w:t>
      </w:r>
    </w:p>
    <w:p w14:paraId="02C65A65" w14:textId="77777777" w:rsidR="00551CE3" w:rsidRDefault="00551CE3" w:rsidP="00486125">
      <w:pPr>
        <w:jc w:val="both"/>
      </w:pPr>
      <w:r>
        <w:t>Zamawiający potwierdza, że identyfikacja numeru dzwoniącego dotyczy tylko tych numerów, które nie są zastrzeżone zgodnie z art. 171 ustawy prawo telekomunikacyjne.</w:t>
      </w:r>
    </w:p>
    <w:p w14:paraId="00B90D39" w14:textId="0E867CB5" w:rsidR="00551CE3" w:rsidRDefault="00551CE3" w:rsidP="00486125">
      <w:pPr>
        <w:jc w:val="both"/>
      </w:pPr>
    </w:p>
    <w:p w14:paraId="559D9648" w14:textId="586ADF15" w:rsidR="008A0A76" w:rsidRDefault="008A0A76" w:rsidP="00486125">
      <w:pPr>
        <w:jc w:val="both"/>
      </w:pPr>
      <w:r>
        <w:t>5)</w:t>
      </w:r>
      <w:r>
        <w:tab/>
        <w:t xml:space="preserve">Wykonawca zwraca uwagę, iż obecnie obowiązuje nowe Rozporządzenie Ministra Cyfryzacji z dnia 11 grudnia 2018 r.  w sprawie warunków korzystania z uprawnień w publicznych sieciach telefonicznych (Dz. U. z 2018 r. poz. 2324), które dopuszcza  przerwę w świadczeniu usług  telekomunikacyjnych pomiędzy godziną 0:00, a godziną 6:00. Wykonawca wnosi o modyfikację zapisów  pkt 21 lit. b) pkt VI </w:t>
      </w:r>
      <w:proofErr w:type="spellStart"/>
      <w:r>
        <w:t>ppkt</w:t>
      </w:r>
      <w:proofErr w:type="spellEnd"/>
      <w:r>
        <w:t xml:space="preserve"> 5.3 OPZ, tak aby przeniesienie nastąpiło w czasie i w trybie przewidzianym z treścią aktualnego rozporządzenia. </w:t>
      </w:r>
    </w:p>
    <w:p w14:paraId="16FD035F" w14:textId="44D132F2" w:rsidR="00551CE3" w:rsidRDefault="00551CE3" w:rsidP="00486125">
      <w:pPr>
        <w:jc w:val="both"/>
      </w:pPr>
      <w:r>
        <w:t xml:space="preserve">Zamawiający zmodyfikował zapis pkt VII </w:t>
      </w:r>
      <w:proofErr w:type="spellStart"/>
      <w:r>
        <w:t>ppkt</w:t>
      </w:r>
      <w:proofErr w:type="spellEnd"/>
      <w:r>
        <w:t xml:space="preserve"> 5.3 OPZ</w:t>
      </w:r>
      <w:r w:rsidR="005C2C8C">
        <w:t xml:space="preserve">: </w:t>
      </w:r>
    </w:p>
    <w:p w14:paraId="114268B7" w14:textId="6CC20065" w:rsidR="00BD4779" w:rsidRDefault="00BD4779" w:rsidP="00486125">
      <w:pPr>
        <w:jc w:val="both"/>
        <w:rPr>
          <w:rFonts w:eastAsia="Calibri" w:cstheme="minorHAnsi"/>
        </w:rPr>
      </w:pPr>
      <w:r>
        <w:rPr>
          <w:rFonts w:eastAsia="Calibri" w:cstheme="minorHAnsi"/>
        </w:rPr>
        <w:t>Było:</w:t>
      </w:r>
    </w:p>
    <w:p w14:paraId="3476B2B7" w14:textId="289C5A56" w:rsidR="005F6A1D" w:rsidRPr="005F6A1D" w:rsidRDefault="005F6A1D" w:rsidP="00486125">
      <w:pPr>
        <w:jc w:val="both"/>
        <w:rPr>
          <w:rFonts w:eastAsia="Calibri" w:cstheme="minorHAnsi"/>
        </w:rPr>
      </w:pPr>
      <w:r w:rsidRPr="005F6A1D">
        <w:rPr>
          <w:rFonts w:eastAsia="Calibri" w:cstheme="minorHAnsi"/>
        </w:rPr>
        <w:t>„na zasadach zgodnych z Prawem telekomunikacyjnym oraz rozporządzeniem Ministra Infrastruktury z dnia 16 grudnia 2010 r. w sprawie warunków korzystania z uprawnień w publicznych sieciach teleinformatycznych„</w:t>
      </w:r>
    </w:p>
    <w:p w14:paraId="73BF3BED" w14:textId="6EA13AD9" w:rsidR="00BD4779" w:rsidRDefault="00BD4779" w:rsidP="00486125">
      <w:pPr>
        <w:jc w:val="both"/>
        <w:rPr>
          <w:rFonts w:eastAsia="Calibri" w:cstheme="minorHAnsi"/>
        </w:rPr>
      </w:pPr>
      <w:r>
        <w:rPr>
          <w:rFonts w:eastAsia="Calibri" w:cstheme="minorHAnsi"/>
        </w:rPr>
        <w:t>Jest:</w:t>
      </w:r>
    </w:p>
    <w:p w14:paraId="5907355A" w14:textId="682F2585" w:rsidR="005F6A1D" w:rsidRPr="005F6A1D" w:rsidRDefault="005F6A1D" w:rsidP="00486125">
      <w:pPr>
        <w:jc w:val="both"/>
        <w:rPr>
          <w:rFonts w:eastAsia="Calibri" w:cstheme="minorHAnsi"/>
        </w:rPr>
      </w:pPr>
      <w:r w:rsidRPr="005F6A1D">
        <w:rPr>
          <w:rFonts w:eastAsia="Calibri" w:cstheme="minorHAnsi"/>
        </w:rPr>
        <w:t xml:space="preserve"> </w:t>
      </w:r>
      <w:r>
        <w:rPr>
          <w:rFonts w:eastAsia="Calibri" w:cstheme="minorHAnsi"/>
        </w:rPr>
        <w:t xml:space="preserve">„na </w:t>
      </w:r>
      <w:r w:rsidRPr="005F6A1D">
        <w:rPr>
          <w:rFonts w:eastAsia="Calibri" w:cstheme="minorHAnsi"/>
        </w:rPr>
        <w:t>zasadach zgodnych z Prawem telekomunikacyjnym oraz rozporządzeniem Ministra Cyfryzacji z dnia 11 grudnia 2018 r. w sprawie warunków korzystania z uprawnień w publicznych sieciach telekomunikacyjnych.</w:t>
      </w:r>
      <w:r>
        <w:rPr>
          <w:rFonts w:eastAsia="Calibri" w:cstheme="minorHAnsi"/>
        </w:rPr>
        <w:t>”</w:t>
      </w:r>
    </w:p>
    <w:p w14:paraId="3FA697EE" w14:textId="751F56D5" w:rsidR="00BD4779" w:rsidRDefault="00BD4779" w:rsidP="00486125">
      <w:pPr>
        <w:autoSpaceDE w:val="0"/>
        <w:autoSpaceDN w:val="0"/>
        <w:adjustRightInd w:val="0"/>
        <w:spacing w:after="0"/>
        <w:jc w:val="both"/>
        <w:rPr>
          <w:rFonts w:eastAsia="Calibri" w:cstheme="minorHAnsi"/>
        </w:rPr>
      </w:pPr>
    </w:p>
    <w:p w14:paraId="4E530D42" w14:textId="2ACAECAF" w:rsidR="00BD4779" w:rsidRDefault="00BD4779" w:rsidP="00486125">
      <w:pPr>
        <w:autoSpaceDE w:val="0"/>
        <w:autoSpaceDN w:val="0"/>
        <w:adjustRightInd w:val="0"/>
        <w:spacing w:after="0"/>
        <w:jc w:val="both"/>
        <w:rPr>
          <w:rFonts w:eastAsia="Calibri" w:cstheme="minorHAnsi"/>
        </w:rPr>
      </w:pPr>
      <w:r>
        <w:rPr>
          <w:rFonts w:eastAsia="Calibri" w:cstheme="minorHAnsi"/>
        </w:rPr>
        <w:t>Było:</w:t>
      </w:r>
    </w:p>
    <w:p w14:paraId="3E06FCDA" w14:textId="77777777" w:rsidR="00BD4779" w:rsidRDefault="005F6A1D" w:rsidP="00486125">
      <w:pPr>
        <w:autoSpaceDE w:val="0"/>
        <w:autoSpaceDN w:val="0"/>
        <w:adjustRightInd w:val="0"/>
        <w:spacing w:after="0"/>
        <w:jc w:val="both"/>
        <w:rPr>
          <w:rFonts w:eastAsia="Calibri" w:cstheme="minorHAnsi"/>
        </w:rPr>
      </w:pPr>
      <w:r w:rsidRPr="005F6A1D">
        <w:rPr>
          <w:rFonts w:eastAsia="Calibri" w:cstheme="minorHAnsi"/>
        </w:rPr>
        <w:t xml:space="preserve"> </w:t>
      </w:r>
    </w:p>
    <w:p w14:paraId="4ECCA7C5" w14:textId="19621486" w:rsidR="005F6A1D" w:rsidRPr="005F6A1D" w:rsidRDefault="005F6A1D" w:rsidP="00486125">
      <w:pPr>
        <w:autoSpaceDE w:val="0"/>
        <w:autoSpaceDN w:val="0"/>
        <w:adjustRightInd w:val="0"/>
        <w:spacing w:after="0"/>
        <w:jc w:val="both"/>
        <w:rPr>
          <w:rFonts w:eastAsia="Calibri" w:cstheme="minorHAnsi"/>
        </w:rPr>
      </w:pPr>
      <w:r>
        <w:rPr>
          <w:rFonts w:eastAsia="Calibri" w:cstheme="minorHAnsi"/>
        </w:rPr>
        <w:lastRenderedPageBreak/>
        <w:t>„</w:t>
      </w:r>
      <w:r w:rsidR="00BD4779">
        <w:rPr>
          <w:rFonts w:eastAsia="Calibri" w:cstheme="minorHAnsi"/>
        </w:rPr>
        <w:t>p</w:t>
      </w:r>
      <w:r w:rsidRPr="005F6A1D">
        <w:rPr>
          <w:rFonts w:eastAsia="Calibri" w:cstheme="minorHAnsi"/>
        </w:rPr>
        <w:t>rzerwa w świadczeniu usług w momencie przenoszenia numeracji do nowego operatora może występować w godzinach 00:00 a 03:00 w nocy</w:t>
      </w:r>
      <w:r>
        <w:rPr>
          <w:rFonts w:eastAsia="Calibri" w:cstheme="minorHAnsi"/>
        </w:rPr>
        <w:t xml:space="preserve">” </w:t>
      </w:r>
    </w:p>
    <w:p w14:paraId="53F0C7D3" w14:textId="62BA281A" w:rsidR="005F6A1D" w:rsidRDefault="005F6A1D" w:rsidP="00486125">
      <w:pPr>
        <w:jc w:val="both"/>
        <w:rPr>
          <w:rFonts w:eastAsia="Calibri" w:cstheme="minorHAnsi"/>
        </w:rPr>
      </w:pPr>
    </w:p>
    <w:p w14:paraId="1AA15BF8" w14:textId="7FE2B1C3" w:rsidR="00BD4779" w:rsidRPr="005F6A1D" w:rsidRDefault="00BD4779" w:rsidP="00486125">
      <w:pPr>
        <w:jc w:val="both"/>
        <w:rPr>
          <w:rFonts w:eastAsia="Calibri" w:cstheme="minorHAnsi"/>
        </w:rPr>
      </w:pPr>
      <w:r>
        <w:rPr>
          <w:rFonts w:eastAsia="Calibri" w:cstheme="minorHAnsi"/>
        </w:rPr>
        <w:t>Jest:</w:t>
      </w:r>
    </w:p>
    <w:p w14:paraId="572ED4A7" w14:textId="287418AD" w:rsidR="005F6A1D" w:rsidRPr="005F6A1D" w:rsidRDefault="005F6A1D" w:rsidP="00486125">
      <w:pPr>
        <w:autoSpaceDE w:val="0"/>
        <w:autoSpaceDN w:val="0"/>
        <w:adjustRightInd w:val="0"/>
        <w:spacing w:after="0"/>
        <w:jc w:val="both"/>
        <w:rPr>
          <w:rFonts w:eastAsia="Calibri" w:cstheme="minorHAnsi"/>
        </w:rPr>
      </w:pPr>
      <w:r w:rsidRPr="005F6A1D">
        <w:rPr>
          <w:rFonts w:eastAsia="Calibri" w:cstheme="minorHAnsi"/>
        </w:rPr>
        <w:t xml:space="preserve"> </w:t>
      </w:r>
      <w:r w:rsidR="004B214B">
        <w:rPr>
          <w:rFonts w:eastAsia="Calibri" w:cstheme="minorHAnsi"/>
        </w:rPr>
        <w:t>„</w:t>
      </w:r>
      <w:r w:rsidR="00BD4779">
        <w:rPr>
          <w:rFonts w:eastAsia="Calibri" w:cstheme="minorHAnsi"/>
        </w:rPr>
        <w:t>p</w:t>
      </w:r>
      <w:r w:rsidRPr="005F6A1D">
        <w:rPr>
          <w:rFonts w:eastAsia="Calibri" w:cstheme="minorHAnsi"/>
        </w:rPr>
        <w:t>rzerwa w świadczeniu usług w momencie przenoszenia numeracji do nowego operatora może występować w godzinach 00:00 a 06:00 w nocy.</w:t>
      </w:r>
      <w:r w:rsidR="004B214B">
        <w:rPr>
          <w:rFonts w:eastAsia="Calibri" w:cstheme="minorHAnsi"/>
        </w:rPr>
        <w:t>”</w:t>
      </w:r>
      <w:r w:rsidRPr="005F6A1D">
        <w:rPr>
          <w:rFonts w:eastAsia="Calibri" w:cstheme="minorHAnsi"/>
        </w:rPr>
        <w:t xml:space="preserve"> </w:t>
      </w:r>
    </w:p>
    <w:p w14:paraId="5BAF8D4B" w14:textId="3AA0E3D5" w:rsidR="005F6A1D" w:rsidRPr="005F6A1D" w:rsidRDefault="005F6A1D" w:rsidP="00486125">
      <w:pPr>
        <w:jc w:val="both"/>
        <w:rPr>
          <w:rFonts w:eastAsia="Calibri" w:cstheme="minorHAnsi"/>
        </w:rPr>
      </w:pPr>
    </w:p>
    <w:p w14:paraId="75882146" w14:textId="77777777" w:rsidR="005F6A1D" w:rsidRPr="005F6A1D" w:rsidRDefault="005F6A1D" w:rsidP="00486125">
      <w:pPr>
        <w:jc w:val="both"/>
        <w:rPr>
          <w:rFonts w:eastAsia="Calibri" w:cstheme="minorHAnsi"/>
        </w:rPr>
      </w:pPr>
    </w:p>
    <w:p w14:paraId="199B2BD0" w14:textId="15311544" w:rsidR="00BA3834" w:rsidRPr="005F6A1D" w:rsidRDefault="008A0A76" w:rsidP="00486125">
      <w:pPr>
        <w:jc w:val="both"/>
        <w:rPr>
          <w:rFonts w:cstheme="minorHAnsi"/>
        </w:rPr>
      </w:pPr>
      <w:r w:rsidRPr="005F6A1D">
        <w:rPr>
          <w:rFonts w:cstheme="minorHAnsi"/>
        </w:rPr>
        <w:t>6)</w:t>
      </w:r>
      <w:r w:rsidRPr="005F6A1D">
        <w:rPr>
          <w:rFonts w:cstheme="minorHAnsi"/>
        </w:rPr>
        <w:tab/>
        <w:t>W celu uniknięcia wątpliwości Wykonawca wnosi o potwierdzenie, iż ilekroć S</w:t>
      </w:r>
      <w:r w:rsidR="00BD4779">
        <w:rPr>
          <w:rFonts w:cstheme="minorHAnsi"/>
        </w:rPr>
        <w:t>WZ</w:t>
      </w:r>
      <w:r w:rsidRPr="005F6A1D">
        <w:rPr>
          <w:rFonts w:cstheme="minorHAnsi"/>
        </w:rPr>
        <w:t xml:space="preserve"> stanowi o pakietowej transmisji danych, należy pod tym pojęciem rozumieć pakietową transmisję danych w kraju, chyba że Zamawiający zastrzegł inaczej, przy czym niewykorzystana w danym okresie rozliczeniowym część pakietu przepada i nie jest zwracana w jakiejkolwiek formie?</w:t>
      </w:r>
    </w:p>
    <w:p w14:paraId="4BBCB70D" w14:textId="0BA6522D" w:rsidR="00551CE3" w:rsidRPr="005F6A1D" w:rsidRDefault="00551CE3" w:rsidP="00486125">
      <w:pPr>
        <w:jc w:val="both"/>
        <w:rPr>
          <w:rFonts w:cstheme="minorHAnsi"/>
        </w:rPr>
      </w:pPr>
      <w:r w:rsidRPr="005F6A1D">
        <w:rPr>
          <w:rFonts w:cstheme="minorHAnsi"/>
        </w:rPr>
        <w:t>Zamawiający potwierdza, iż ilekroć S</w:t>
      </w:r>
      <w:r w:rsidR="00BD4779">
        <w:rPr>
          <w:rFonts w:cstheme="minorHAnsi"/>
        </w:rPr>
        <w:t>WZ</w:t>
      </w:r>
      <w:r w:rsidRPr="005F6A1D">
        <w:rPr>
          <w:rFonts w:cstheme="minorHAnsi"/>
        </w:rPr>
        <w:t xml:space="preserve"> stanowi o pakietowej transmisji danych, należy pod tym pojęciem rozumieć pakietową transmisję danych w kraju,  przy czym niewykorzystana w danym okresie rozliczeniowym część pakietu przepada i nie jest zwracana w jakiejkolwiek formie.</w:t>
      </w:r>
    </w:p>
    <w:p w14:paraId="4DF649D7" w14:textId="21C73D60" w:rsidR="00551CE3" w:rsidRPr="005F6A1D" w:rsidRDefault="00551CE3" w:rsidP="00486125">
      <w:pPr>
        <w:jc w:val="both"/>
        <w:rPr>
          <w:rFonts w:cstheme="minorHAnsi"/>
        </w:rPr>
      </w:pPr>
    </w:p>
    <w:p w14:paraId="70EC945D" w14:textId="323A94B7" w:rsidR="008A0A76" w:rsidRPr="005F6A1D" w:rsidRDefault="008A0A76" w:rsidP="00486125">
      <w:pPr>
        <w:jc w:val="both"/>
        <w:rPr>
          <w:rFonts w:cstheme="minorHAnsi"/>
        </w:rPr>
      </w:pPr>
      <w:r w:rsidRPr="005F6A1D">
        <w:rPr>
          <w:rFonts w:cstheme="minorHAnsi"/>
        </w:rPr>
        <w:t xml:space="preserve">7) </w:t>
      </w:r>
      <w:r w:rsidRPr="005F6A1D">
        <w:rPr>
          <w:rFonts w:cstheme="minorHAnsi"/>
        </w:rPr>
        <w:tab/>
        <w:t>Wykonawca wnosi o udostępnienie formularza ofertowego w wersji edytowalnej, w celu łatwiejszego wypełnienia.</w:t>
      </w:r>
    </w:p>
    <w:p w14:paraId="0C67F6C4" w14:textId="27F31037" w:rsidR="00551CE3" w:rsidRPr="005F6A1D" w:rsidRDefault="00551CE3" w:rsidP="00486125">
      <w:pPr>
        <w:jc w:val="both"/>
        <w:rPr>
          <w:rFonts w:cstheme="minorHAnsi"/>
        </w:rPr>
      </w:pPr>
      <w:r w:rsidRPr="005F6A1D">
        <w:rPr>
          <w:rFonts w:cstheme="minorHAnsi"/>
        </w:rPr>
        <w:t xml:space="preserve">Zamawiający przychyla się do wniosku i udostępnia formularz ofertowy w wersji edytowalnej. </w:t>
      </w:r>
    </w:p>
    <w:p w14:paraId="3F04B0C4" w14:textId="77777777" w:rsidR="008A0A76" w:rsidRPr="005F6A1D" w:rsidRDefault="008A0A76" w:rsidP="00486125">
      <w:pPr>
        <w:jc w:val="both"/>
        <w:rPr>
          <w:rFonts w:cstheme="minorHAnsi"/>
        </w:rPr>
      </w:pPr>
    </w:p>
    <w:sectPr w:rsidR="008A0A76" w:rsidRPr="005F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34A8" w14:textId="77777777" w:rsidR="007B5BE6" w:rsidRDefault="007B5BE6" w:rsidP="00040656">
      <w:pPr>
        <w:spacing w:after="0" w:line="240" w:lineRule="auto"/>
      </w:pPr>
      <w:r>
        <w:separator/>
      </w:r>
    </w:p>
  </w:endnote>
  <w:endnote w:type="continuationSeparator" w:id="0">
    <w:p w14:paraId="11DC0FF6" w14:textId="77777777" w:rsidR="007B5BE6" w:rsidRDefault="007B5BE6" w:rsidP="0004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943D0" w14:textId="77777777" w:rsidR="007B5BE6" w:rsidRDefault="007B5BE6" w:rsidP="00040656">
      <w:pPr>
        <w:spacing w:after="0" w:line="240" w:lineRule="auto"/>
      </w:pPr>
      <w:r>
        <w:separator/>
      </w:r>
    </w:p>
  </w:footnote>
  <w:footnote w:type="continuationSeparator" w:id="0">
    <w:p w14:paraId="642FCB26" w14:textId="77777777" w:rsidR="007B5BE6" w:rsidRDefault="007B5BE6" w:rsidP="00040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76"/>
    <w:rsid w:val="00040656"/>
    <w:rsid w:val="00211CB1"/>
    <w:rsid w:val="003C0F0A"/>
    <w:rsid w:val="0048056D"/>
    <w:rsid w:val="00486125"/>
    <w:rsid w:val="004B214B"/>
    <w:rsid w:val="00551CE3"/>
    <w:rsid w:val="005C2C8C"/>
    <w:rsid w:val="005F6A1D"/>
    <w:rsid w:val="006E04A4"/>
    <w:rsid w:val="007B5BE6"/>
    <w:rsid w:val="008A0A76"/>
    <w:rsid w:val="00B20393"/>
    <w:rsid w:val="00BA3834"/>
    <w:rsid w:val="00BD4779"/>
    <w:rsid w:val="00E36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71232"/>
  <w15:chartTrackingRefBased/>
  <w15:docId w15:val="{101D3BD5-0CFE-47EE-BAF9-09B8CEA6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3040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Polkomtel S.A.</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Kubański</dc:creator>
  <cp:keywords/>
  <dc:description/>
  <cp:lastModifiedBy>Beata Komorowska</cp:lastModifiedBy>
  <cp:revision>4</cp:revision>
  <dcterms:created xsi:type="dcterms:W3CDTF">2021-03-11T07:06:00Z</dcterms:created>
  <dcterms:modified xsi:type="dcterms:W3CDTF">2021-03-11T07:21:00Z</dcterms:modified>
</cp:coreProperties>
</file>