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3952167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226EC9">
        <w:rPr>
          <w:rFonts w:ascii="Arial" w:hAnsi="Arial" w:cs="Arial"/>
          <w:b/>
          <w:sz w:val="21"/>
          <w:szCs w:val="21"/>
        </w:rPr>
        <w:t>63</w:t>
      </w:r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2133E57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226EC9">
        <w:rPr>
          <w:rFonts w:ascii="Cambria" w:hAnsi="Cambria" w:cs="Arial"/>
          <w:b/>
          <w:sz w:val="21"/>
          <w:szCs w:val="21"/>
        </w:rPr>
        <w:t xml:space="preserve">materiałów eksploatacyjnych do </w:t>
      </w:r>
      <w:r w:rsidR="0004372F">
        <w:rPr>
          <w:rFonts w:ascii="Cambria" w:hAnsi="Cambria" w:cs="Arial"/>
          <w:b/>
          <w:sz w:val="21"/>
          <w:szCs w:val="21"/>
        </w:rPr>
        <w:t>drukarek – postępowanie II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CCEF-B284-489D-9B3E-BDE81AE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6</cp:revision>
  <cp:lastPrinted>2022-05-04T11:03:00Z</cp:lastPrinted>
  <dcterms:created xsi:type="dcterms:W3CDTF">2022-05-31T11:39:00Z</dcterms:created>
  <dcterms:modified xsi:type="dcterms:W3CDTF">2022-07-05T05:11:00Z</dcterms:modified>
</cp:coreProperties>
</file>