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A5" w:rsidRPr="001502DA" w:rsidRDefault="007E21A5" w:rsidP="007E21A5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 w:rsidRPr="001502DA">
        <w:rPr>
          <w:rFonts w:cs="Arial"/>
          <w:szCs w:val="22"/>
        </w:rPr>
        <w:t xml:space="preserve">Łomża, dnia </w:t>
      </w:r>
      <w:r w:rsidR="008008DD">
        <w:rPr>
          <w:rFonts w:cs="Arial"/>
          <w:szCs w:val="22"/>
        </w:rPr>
        <w:t>10.</w:t>
      </w:r>
      <w:r w:rsidRPr="001502DA">
        <w:rPr>
          <w:rFonts w:cs="Arial"/>
          <w:szCs w:val="22"/>
        </w:rPr>
        <w:t>11.2020 r.</w:t>
      </w:r>
    </w:p>
    <w:p w:rsidR="007E21A5" w:rsidRDefault="007E21A5" w:rsidP="007E21A5">
      <w:pPr>
        <w:pStyle w:val="Tekstpodstawowy"/>
        <w:tabs>
          <w:tab w:val="left" w:pos="27000"/>
        </w:tabs>
        <w:jc w:val="both"/>
        <w:rPr>
          <w:rFonts w:cs="Arial"/>
          <w:b/>
          <w:szCs w:val="22"/>
        </w:rPr>
      </w:pPr>
    </w:p>
    <w:p w:rsidR="007E21A5" w:rsidRPr="001502DA" w:rsidRDefault="007E21A5" w:rsidP="007E21A5">
      <w:pPr>
        <w:pStyle w:val="Tekstpodstawowy"/>
        <w:tabs>
          <w:tab w:val="left" w:pos="27000"/>
        </w:tabs>
        <w:jc w:val="both"/>
        <w:rPr>
          <w:rFonts w:cs="Arial"/>
          <w:b/>
        </w:rPr>
      </w:pPr>
      <w:r w:rsidRPr="001502DA">
        <w:rPr>
          <w:rFonts w:cs="Arial"/>
          <w:b/>
          <w:szCs w:val="22"/>
        </w:rPr>
        <w:t>WIR.271.2.2</w:t>
      </w:r>
      <w:r>
        <w:rPr>
          <w:rFonts w:cs="Arial"/>
          <w:b/>
          <w:szCs w:val="22"/>
        </w:rPr>
        <w:t>3</w:t>
      </w:r>
      <w:r w:rsidRPr="001502DA">
        <w:rPr>
          <w:rFonts w:cs="Arial"/>
          <w:b/>
          <w:szCs w:val="22"/>
        </w:rPr>
        <w:t>.</w:t>
      </w:r>
      <w:r w:rsidR="00AB1646">
        <w:rPr>
          <w:rFonts w:cs="Arial"/>
          <w:b/>
          <w:szCs w:val="22"/>
        </w:rPr>
        <w:t>2</w:t>
      </w:r>
      <w:r w:rsidRPr="001502DA">
        <w:rPr>
          <w:rFonts w:cs="Arial"/>
          <w:b/>
          <w:szCs w:val="22"/>
        </w:rPr>
        <w:t>.2020</w:t>
      </w:r>
    </w:p>
    <w:p w:rsidR="007E21A5" w:rsidRPr="001502DA" w:rsidRDefault="007E21A5" w:rsidP="007E21A5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:rsidR="007E21A5" w:rsidRPr="001502DA" w:rsidRDefault="007E21A5" w:rsidP="007E21A5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:rsidR="007E21A5" w:rsidRPr="001502DA" w:rsidRDefault="007E21A5" w:rsidP="007E21A5">
      <w:pPr>
        <w:pStyle w:val="Tekstpodstawowy"/>
        <w:tabs>
          <w:tab w:val="left" w:pos="27360"/>
        </w:tabs>
        <w:ind w:left="7090"/>
        <w:jc w:val="both"/>
        <w:rPr>
          <w:rFonts w:cs="Arial"/>
          <w:b/>
          <w:sz w:val="20"/>
          <w:szCs w:val="20"/>
        </w:rPr>
      </w:pPr>
    </w:p>
    <w:p w:rsidR="007E21A5" w:rsidRPr="00555972" w:rsidRDefault="007E21A5" w:rsidP="007E21A5">
      <w:pPr>
        <w:ind w:left="993" w:hanging="993"/>
        <w:jc w:val="both"/>
        <w:rPr>
          <w:rFonts w:cs="Arial"/>
          <w:b/>
          <w:szCs w:val="22"/>
        </w:rPr>
      </w:pPr>
      <w:r w:rsidRPr="00555972">
        <w:rPr>
          <w:rFonts w:cs="Arial"/>
          <w:b/>
          <w:szCs w:val="22"/>
        </w:rPr>
        <w:t>dotyczy:</w:t>
      </w:r>
      <w:r w:rsidRPr="00555972">
        <w:rPr>
          <w:rFonts w:cs="Arial"/>
          <w:szCs w:val="22"/>
        </w:rPr>
        <w:t xml:space="preserve"> </w:t>
      </w:r>
      <w:r w:rsidRPr="00555972">
        <w:rPr>
          <w:rFonts w:cs="Arial"/>
          <w:b/>
          <w:szCs w:val="22"/>
        </w:rPr>
        <w:t>postępowania o udzielenie zamówienia publicznego prowadzonego w trybie przetargu nieograniczonego na zadanie pn.: „</w:t>
      </w:r>
      <w:r>
        <w:rPr>
          <w:rFonts w:cs="Arial"/>
          <w:b/>
          <w:szCs w:val="22"/>
        </w:rPr>
        <w:t>Rozb</w:t>
      </w:r>
      <w:r w:rsidRPr="00555972">
        <w:rPr>
          <w:rFonts w:cs="Arial"/>
          <w:b/>
          <w:bCs/>
          <w:szCs w:val="22"/>
        </w:rPr>
        <w:t xml:space="preserve">udowa </w:t>
      </w:r>
      <w:r>
        <w:rPr>
          <w:rFonts w:cs="Arial"/>
          <w:b/>
          <w:bCs/>
          <w:szCs w:val="22"/>
        </w:rPr>
        <w:t>drogi gminnej</w:t>
      </w:r>
      <w:r w:rsidRPr="0055597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nr 101204B</w:t>
      </w:r>
      <w:r w:rsidRPr="0055597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w</w:t>
      </w:r>
      <w:r w:rsidRPr="00555972">
        <w:rPr>
          <w:rFonts w:cs="Arial"/>
          <w:b/>
          <w:bCs/>
          <w:szCs w:val="22"/>
        </w:rPr>
        <w:t xml:space="preserve"> Łomż</w:t>
      </w:r>
      <w:r>
        <w:rPr>
          <w:rFonts w:cs="Arial"/>
          <w:b/>
          <w:bCs/>
          <w:szCs w:val="22"/>
        </w:rPr>
        <w:t>y (ul. Bursztynowa)</w:t>
      </w:r>
      <w:r w:rsidRPr="00555972">
        <w:rPr>
          <w:rFonts w:cs="Arial"/>
          <w:b/>
          <w:szCs w:val="22"/>
        </w:rPr>
        <w:t>” - nr sprawy WIR.271.2.2</w:t>
      </w:r>
      <w:r>
        <w:rPr>
          <w:rFonts w:cs="Arial"/>
          <w:b/>
          <w:szCs w:val="22"/>
        </w:rPr>
        <w:t>3</w:t>
      </w:r>
      <w:r w:rsidRPr="00555972">
        <w:rPr>
          <w:rFonts w:cs="Arial"/>
          <w:b/>
          <w:szCs w:val="22"/>
        </w:rPr>
        <w:t>.2020.</w:t>
      </w:r>
    </w:p>
    <w:p w:rsidR="007E21A5" w:rsidRPr="00555972" w:rsidRDefault="007E21A5" w:rsidP="007E21A5">
      <w:pPr>
        <w:ind w:left="907" w:hanging="907"/>
        <w:jc w:val="both"/>
        <w:rPr>
          <w:rFonts w:cs="Arial"/>
          <w:szCs w:val="22"/>
        </w:rPr>
      </w:pPr>
    </w:p>
    <w:p w:rsidR="007E21A5" w:rsidRPr="00555972" w:rsidRDefault="007E21A5" w:rsidP="007E21A5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7E21A5" w:rsidRPr="00555972" w:rsidRDefault="007E21A5" w:rsidP="007E21A5">
      <w:pPr>
        <w:tabs>
          <w:tab w:val="left" w:pos="0"/>
        </w:tabs>
        <w:spacing w:line="264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  <w:t xml:space="preserve">Zamawiający, Miasto Łomża, działając na podstawie art. 38 ust. 1 i 2 ustawy z dnia 29 stycznia 2004 roku - Prawo Zamówień Publicznych (Dz.U. z 2019 r. poz. 1843 z </w:t>
      </w:r>
      <w:proofErr w:type="spellStart"/>
      <w:r w:rsidRPr="00555972">
        <w:rPr>
          <w:rFonts w:cs="Arial"/>
          <w:szCs w:val="22"/>
        </w:rPr>
        <w:t>późn</w:t>
      </w:r>
      <w:proofErr w:type="spellEnd"/>
      <w:r w:rsidRPr="00555972">
        <w:rPr>
          <w:rFonts w:cs="Arial"/>
          <w:szCs w:val="22"/>
        </w:rPr>
        <w:t xml:space="preserve">. zm.) zwanej dalej „ustawą </w:t>
      </w:r>
      <w:proofErr w:type="spellStart"/>
      <w:r w:rsidRPr="00555972">
        <w:rPr>
          <w:rFonts w:cs="Arial"/>
          <w:szCs w:val="22"/>
        </w:rPr>
        <w:t>Pzp</w:t>
      </w:r>
      <w:proofErr w:type="spellEnd"/>
      <w:r w:rsidRPr="00555972">
        <w:rPr>
          <w:rFonts w:cs="Arial"/>
          <w:szCs w:val="22"/>
        </w:rPr>
        <w:t>” przekazuje treść zapytań Wykonawców wraz z wyjaśnieniami Zamawiającego jak poniżej:</w:t>
      </w:r>
    </w:p>
    <w:p w:rsidR="00755DC7" w:rsidRDefault="0006085A"/>
    <w:p w:rsidR="007E21A5" w:rsidRPr="002F705F" w:rsidRDefault="007E21A5" w:rsidP="007E21A5">
      <w:pPr>
        <w:pStyle w:val="Standard"/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2F705F">
        <w:rPr>
          <w:rFonts w:ascii="Arial" w:hAnsi="Arial"/>
          <w:b/>
          <w:sz w:val="22"/>
          <w:szCs w:val="22"/>
        </w:rPr>
        <w:t>Pytanie nr 1:</w:t>
      </w:r>
    </w:p>
    <w:p w:rsidR="007E21A5" w:rsidRPr="0057207A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57207A">
        <w:rPr>
          <w:rFonts w:ascii="Arial" w:hAnsi="Arial" w:cs="Arial"/>
        </w:rPr>
        <w:t>Uprzejmie informujemy, iż wymieniona w pkt 3.1 dokumentacji zapisy dla studni kanalizacyjnych kanalizacji deszczowej „Kineta studni rewizyjnej z kręgiem dennym stanowić ma monolit, z betonu klasy jak krąg denny”. Jest nie spójny z częścią rysunkową tegoż opracowania. P</w:t>
      </w:r>
      <w:r>
        <w:rPr>
          <w:rFonts w:ascii="Arial" w:hAnsi="Arial" w:cs="Arial"/>
        </w:rPr>
        <w:t>rosimy o </w:t>
      </w:r>
      <w:r w:rsidRPr="0057207A">
        <w:rPr>
          <w:rFonts w:ascii="Arial" w:hAnsi="Arial" w:cs="Arial"/>
        </w:rPr>
        <w:t>ujednolicenie zapisów.</w:t>
      </w:r>
    </w:p>
    <w:p w:rsidR="007E21A5" w:rsidRPr="0057207A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57207A">
        <w:rPr>
          <w:rFonts w:ascii="Arial" w:hAnsi="Arial" w:cs="Arial"/>
          <w:b/>
        </w:rPr>
        <w:t>Odpowiedź:</w:t>
      </w:r>
    </w:p>
    <w:p w:rsidR="007E21A5" w:rsidRPr="007E21A5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7E21A5">
        <w:rPr>
          <w:rFonts w:ascii="Arial" w:hAnsi="Arial" w:cs="Arial"/>
        </w:rPr>
        <w:t>Zapis jest spójny. W pkt. 3.1. opisu technicznego jest zapis o tym, że „Kineta studni rewizyjnej z kręgiem dennym stanowić ma monolit, z betonu klasy jak krąg denny” co potwierdza rysunek 5 dotyczące studni rewizyjnej betonowej z włazem żeli</w:t>
      </w:r>
      <w:r>
        <w:rPr>
          <w:rFonts w:ascii="Arial" w:hAnsi="Arial" w:cs="Arial"/>
        </w:rPr>
        <w:t>wnym kl. D400. Przypominamy, że </w:t>
      </w:r>
      <w:r w:rsidRPr="007E21A5">
        <w:rPr>
          <w:rFonts w:ascii="Arial" w:hAnsi="Arial" w:cs="Arial"/>
        </w:rPr>
        <w:t>kineta nie występuje w studniach osadnikowych.</w:t>
      </w:r>
    </w:p>
    <w:p w:rsidR="007E21A5" w:rsidRPr="003B6AAC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</w:p>
    <w:p w:rsidR="007E21A5" w:rsidRPr="003B6AAC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A35C16" w:rsidRPr="008008DD">
        <w:rPr>
          <w:rFonts w:ascii="Arial" w:hAnsi="Arial" w:cs="Arial"/>
          <w:b/>
        </w:rPr>
        <w:t>2:</w:t>
      </w:r>
    </w:p>
    <w:p w:rsidR="007E21A5" w:rsidRPr="00205916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3B6AAC">
        <w:rPr>
          <w:rFonts w:ascii="Arial" w:hAnsi="Arial" w:cs="Arial"/>
        </w:rPr>
        <w:t>Czy zamawiający zaleca/nakazuje zastosowanie systemu jednego producenta dla wszystkich elementów kanalizacji</w:t>
      </w:r>
      <w:r w:rsidRPr="00205916">
        <w:rPr>
          <w:rFonts w:ascii="Arial" w:hAnsi="Arial" w:cs="Arial"/>
        </w:rPr>
        <w:t xml:space="preserve"> deszczowej (rura studnia wpust) dla zachowania szczelności na połączeniach i bezproblemowego montażu co dla zamawiającego jak i wykonawcy będzie zaletą i atutem.</w:t>
      </w:r>
    </w:p>
    <w:p w:rsidR="007E21A5" w:rsidRPr="00205916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205916">
        <w:rPr>
          <w:rFonts w:ascii="Arial" w:hAnsi="Arial" w:cs="Arial"/>
          <w:b/>
        </w:rPr>
        <w:t>Odpowiedź:</w:t>
      </w:r>
    </w:p>
    <w:p w:rsidR="007E21A5" w:rsidRPr="007E21A5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7E21A5">
        <w:rPr>
          <w:rFonts w:ascii="Arial" w:hAnsi="Arial" w:cs="Arial"/>
        </w:rPr>
        <w:t>Zamawiający nie wymaga</w:t>
      </w:r>
      <w:r w:rsidR="00A35C16">
        <w:rPr>
          <w:rFonts w:ascii="Arial" w:hAnsi="Arial" w:cs="Arial"/>
        </w:rPr>
        <w:t>,</w:t>
      </w:r>
      <w:r w:rsidRPr="007E21A5">
        <w:rPr>
          <w:rFonts w:ascii="Arial" w:hAnsi="Arial" w:cs="Arial"/>
        </w:rPr>
        <w:t xml:space="preserve"> aby wszystkie elementy kanal</w:t>
      </w:r>
      <w:r>
        <w:rPr>
          <w:rFonts w:ascii="Arial" w:hAnsi="Arial" w:cs="Arial"/>
        </w:rPr>
        <w:t>izacji deszczowej pochodziły od </w:t>
      </w:r>
      <w:r w:rsidRPr="007E21A5">
        <w:rPr>
          <w:rFonts w:ascii="Arial" w:hAnsi="Arial" w:cs="Arial"/>
        </w:rPr>
        <w:t>jednego producenta. Materiały użyte do budowy muszą spełniać wymagania dokumentacji przetargowej, powinny stanowić jednolity, dopasowany system oraz posiadać dokumenty dopuszczające do powszechnego lub jednostkowego zastosowania w budownictwie, zgodnie z obowiązującymi przepisami i zapewniać wymaganą szczelność systemu i jak najniższą awaryjność.</w:t>
      </w:r>
    </w:p>
    <w:p w:rsidR="007E21A5" w:rsidRPr="003B6AAC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</w:p>
    <w:p w:rsidR="007E21A5" w:rsidRPr="00205916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="00A35C16">
        <w:rPr>
          <w:rFonts w:ascii="Arial" w:hAnsi="Arial" w:cs="Arial"/>
          <w:b/>
        </w:rPr>
        <w:t>:</w:t>
      </w:r>
    </w:p>
    <w:p w:rsidR="007E21A5" w:rsidRDefault="007E21A5" w:rsidP="007E21A5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określenie wytrzymałości na zgniatanie rur żelbetowych (obliczenia). Z naszego doświadczenia wynika, że w przedmiotowym temacie winny być zastosowane rury o odpowiednich wytrzymałościach, odpowiednio:</w:t>
      </w:r>
    </w:p>
    <w:p w:rsidR="007E21A5" w:rsidRDefault="007E21A5" w:rsidP="007E21A5">
      <w:pPr>
        <w:pStyle w:val="Akapitzlist"/>
        <w:numPr>
          <w:ilvl w:val="0"/>
          <w:numId w:val="1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Wytrzymałość na zgniatanie rur żelbetowych DN300:    60kN/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,</w:t>
      </w:r>
    </w:p>
    <w:p w:rsidR="007E21A5" w:rsidRDefault="007E21A5" w:rsidP="007E21A5">
      <w:pPr>
        <w:pStyle w:val="Akapitzlist"/>
        <w:numPr>
          <w:ilvl w:val="0"/>
          <w:numId w:val="1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Wytrzymałość na zgniatanie rur żelbetowych DN400:    75kN/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,</w:t>
      </w:r>
    </w:p>
    <w:p w:rsidR="007E21A5" w:rsidRPr="007E21A5" w:rsidRDefault="007E21A5">
      <w:pPr>
        <w:rPr>
          <w:b/>
        </w:rPr>
      </w:pPr>
      <w:r w:rsidRPr="007E21A5">
        <w:rPr>
          <w:b/>
        </w:rPr>
        <w:t>Odpowiedź</w:t>
      </w:r>
    </w:p>
    <w:p w:rsidR="007E21A5" w:rsidRDefault="007E21A5" w:rsidP="005065C8">
      <w:pPr>
        <w:jc w:val="both"/>
      </w:pPr>
      <w:r>
        <w:t>Należy zastosować rury żelbetowe w II klasie wytrzymałości na podstawie</w:t>
      </w:r>
      <w:r w:rsidR="002107FC">
        <w:t xml:space="preserve"> </w:t>
      </w:r>
      <w:r w:rsidR="002107FC" w:rsidRPr="008008DD">
        <w:t>normy</w:t>
      </w:r>
      <w:r w:rsidRPr="008008DD">
        <w:t xml:space="preserve"> BN-83/8971-06.02</w:t>
      </w:r>
      <w:r w:rsidR="00A35C16" w:rsidRPr="008008DD">
        <w:t xml:space="preserve"> lub równoważn</w:t>
      </w:r>
      <w:r w:rsidR="001D5E65" w:rsidRPr="008008DD">
        <w:t>e</w:t>
      </w:r>
      <w:r w:rsidR="002E3B43" w:rsidRPr="008008DD">
        <w:t xml:space="preserve"> (patrz zapisy</w:t>
      </w:r>
      <w:r w:rsidR="005065C8" w:rsidRPr="008008DD">
        <w:t xml:space="preserve"> pkt 1.5 rozdziału III SIWZ</w:t>
      </w:r>
      <w:r w:rsidR="002E3B43" w:rsidRPr="008008DD">
        <w:t>)</w:t>
      </w:r>
      <w:r w:rsidRPr="008008DD">
        <w:t>,</w:t>
      </w:r>
      <w:r>
        <w:t xml:space="preserve"> zgodnie z dokumentacją projektową.</w:t>
      </w:r>
    </w:p>
    <w:p w:rsidR="00AB1646" w:rsidRDefault="00AB1646">
      <w:r>
        <w:rPr>
          <w:rFonts w:cs="Arial"/>
          <w:b/>
        </w:rPr>
        <w:lastRenderedPageBreak/>
        <w:t>Pytanie nr 4</w:t>
      </w:r>
      <w:r w:rsidR="00636963">
        <w:rPr>
          <w:rFonts w:cs="Arial"/>
          <w:b/>
        </w:rPr>
        <w:t>:</w:t>
      </w:r>
    </w:p>
    <w:p w:rsidR="00AB1646" w:rsidRDefault="00AB1646">
      <w:r>
        <w:t>Proszę o udostępnienie badań geotechnicznych gruntu.</w:t>
      </w:r>
    </w:p>
    <w:p w:rsidR="00AB1646" w:rsidRPr="00AB1646" w:rsidRDefault="00AB1646">
      <w:pPr>
        <w:rPr>
          <w:rFonts w:cs="Arial"/>
          <w:b/>
          <w:szCs w:val="22"/>
        </w:rPr>
      </w:pPr>
      <w:r w:rsidRPr="00AB1646">
        <w:rPr>
          <w:rFonts w:cs="Arial"/>
          <w:b/>
          <w:szCs w:val="22"/>
        </w:rPr>
        <w:t>Odpowiedź</w:t>
      </w:r>
    </w:p>
    <w:p w:rsidR="00AB1646" w:rsidRDefault="00AB1646">
      <w:r w:rsidRPr="002F705F">
        <w:rPr>
          <w:rFonts w:cs="Arial"/>
          <w:szCs w:val="22"/>
        </w:rPr>
        <w:t>Zamawiający zamieścił badania w dniu 06.11.2020 r.</w:t>
      </w:r>
    </w:p>
    <w:p w:rsidR="00AB1646" w:rsidRDefault="00AB1646"/>
    <w:p w:rsidR="007E21A5" w:rsidRDefault="007E21A5" w:rsidP="00AB1646">
      <w:pPr>
        <w:ind w:firstLine="708"/>
        <w:jc w:val="both"/>
      </w:pPr>
      <w:r w:rsidRPr="004A4862">
        <w:rPr>
          <w:rFonts w:cs="Arial"/>
          <w:szCs w:val="22"/>
        </w:rPr>
        <w:t>Powyższe odpowiedzi stanowią integralną część Specyfikacj</w:t>
      </w:r>
      <w:r>
        <w:rPr>
          <w:rFonts w:cs="Arial"/>
          <w:szCs w:val="22"/>
        </w:rPr>
        <w:t>i Istotnych Warunków Zamówienia</w:t>
      </w:r>
      <w:r w:rsidR="00AF67F3">
        <w:rPr>
          <w:rFonts w:cs="Arial"/>
          <w:szCs w:val="22"/>
        </w:rPr>
        <w:t xml:space="preserve"> i nie prowadzą do zm</w:t>
      </w:r>
      <w:bookmarkStart w:id="0" w:name="_GoBack"/>
      <w:bookmarkEnd w:id="0"/>
      <w:r w:rsidR="00AF67F3">
        <w:rPr>
          <w:rFonts w:cs="Arial"/>
          <w:szCs w:val="22"/>
        </w:rPr>
        <w:t>iany treści SIWZ, an</w:t>
      </w:r>
      <w:r w:rsidR="005065C8">
        <w:rPr>
          <w:rFonts w:cs="Arial"/>
          <w:szCs w:val="22"/>
        </w:rPr>
        <w:t>i zmiany ogłoszenia o zamówieniu,</w:t>
      </w:r>
      <w:r w:rsidR="008008DD">
        <w:rPr>
          <w:rFonts w:cs="Arial"/>
          <w:szCs w:val="22"/>
        </w:rPr>
        <w:t xml:space="preserve"> ani </w:t>
      </w:r>
      <w:r w:rsidR="00AF67F3">
        <w:rPr>
          <w:rFonts w:cs="Arial"/>
          <w:szCs w:val="22"/>
        </w:rPr>
        <w:t>zmiany terminu składania i otwarcia ofert.</w:t>
      </w:r>
    </w:p>
    <w:sectPr w:rsidR="007E21A5" w:rsidSect="002008E3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5A" w:rsidRDefault="0006085A" w:rsidP="005065C8">
      <w:r>
        <w:separator/>
      </w:r>
    </w:p>
  </w:endnote>
  <w:endnote w:type="continuationSeparator" w:id="0">
    <w:p w:rsidR="0006085A" w:rsidRDefault="0006085A" w:rsidP="005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465807"/>
      <w:docPartObj>
        <w:docPartGallery w:val="Page Numbers (Bottom of Page)"/>
        <w:docPartUnique/>
      </w:docPartObj>
    </w:sdtPr>
    <w:sdtContent>
      <w:p w:rsidR="00E366FE" w:rsidRDefault="00E366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7FC" w:rsidRDefault="00210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5A" w:rsidRDefault="0006085A" w:rsidP="005065C8">
      <w:r>
        <w:separator/>
      </w:r>
    </w:p>
  </w:footnote>
  <w:footnote w:type="continuationSeparator" w:id="0">
    <w:p w:rsidR="0006085A" w:rsidRDefault="0006085A" w:rsidP="0050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4544"/>
    <w:multiLevelType w:val="hybridMultilevel"/>
    <w:tmpl w:val="EC7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A5"/>
    <w:rsid w:val="0000103A"/>
    <w:rsid w:val="000509CF"/>
    <w:rsid w:val="0006085A"/>
    <w:rsid w:val="000E7545"/>
    <w:rsid w:val="0010632C"/>
    <w:rsid w:val="001D5E65"/>
    <w:rsid w:val="002008E3"/>
    <w:rsid w:val="002107FC"/>
    <w:rsid w:val="002E3B43"/>
    <w:rsid w:val="003E08E6"/>
    <w:rsid w:val="005065C8"/>
    <w:rsid w:val="005C457E"/>
    <w:rsid w:val="00636963"/>
    <w:rsid w:val="006666CF"/>
    <w:rsid w:val="007E21A5"/>
    <w:rsid w:val="008008DD"/>
    <w:rsid w:val="0081088D"/>
    <w:rsid w:val="008A0F60"/>
    <w:rsid w:val="00A35C16"/>
    <w:rsid w:val="00AB1646"/>
    <w:rsid w:val="00AF67F3"/>
    <w:rsid w:val="00C021AC"/>
    <w:rsid w:val="00D56BFE"/>
    <w:rsid w:val="00DA4F2D"/>
    <w:rsid w:val="00DB15E9"/>
    <w:rsid w:val="00E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F27B-59A5-4592-8A65-8F01BD0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A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21A5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E21A5"/>
    <w:pPr>
      <w:spacing w:after="200" w:line="252" w:lineRule="auto"/>
      <w:ind w:left="720"/>
    </w:pPr>
    <w:rPr>
      <w:rFonts w:ascii="Cambria" w:eastAsia="Calibri" w:hAnsi="Cambria" w:cs="Times New Roman"/>
      <w:szCs w:val="22"/>
      <w:lang w:eastAsia="en-US" w:bidi="en-US"/>
    </w:rPr>
  </w:style>
  <w:style w:type="paragraph" w:customStyle="1" w:styleId="Standard">
    <w:name w:val="Standard"/>
    <w:rsid w:val="007E21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7E21A5"/>
    <w:rPr>
      <w:rFonts w:ascii="Cambria" w:eastAsia="Calibri" w:hAnsi="Cambria" w:cs="Times New Roman"/>
      <w:kern w:val="1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0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5C8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6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5C8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8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E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Jaroslaw Sulkowski</cp:lastModifiedBy>
  <cp:revision>5</cp:revision>
  <cp:lastPrinted>2020-11-10T13:01:00Z</cp:lastPrinted>
  <dcterms:created xsi:type="dcterms:W3CDTF">2020-11-10T10:32:00Z</dcterms:created>
  <dcterms:modified xsi:type="dcterms:W3CDTF">2020-11-10T13:02:00Z</dcterms:modified>
</cp:coreProperties>
</file>