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ED0BA0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ED0BA0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BA0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00CC4" w:rsidRPr="00ED0BA0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ED0BA0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00CC4" w:rsidRPr="00ED0BA0" w:rsidRDefault="00E00CC4" w:rsidP="00E00CC4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ED0BA0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ED0BA0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ED0BA0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00CC4" w:rsidRPr="00ED0BA0" w:rsidRDefault="00E00CC4" w:rsidP="00E00CC4">
      <w:pPr>
        <w:rPr>
          <w:rFonts w:asciiTheme="minorHAnsi" w:hAnsiTheme="minorHAnsi" w:cs="Calibri"/>
          <w:sz w:val="22"/>
          <w:szCs w:val="22"/>
          <w:u w:val="single"/>
        </w:rPr>
      </w:pPr>
    </w:p>
    <w:p w:rsidR="00E00CC4" w:rsidRPr="00ED0BA0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ED0BA0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bookmarkStart w:id="0" w:name="_GoBack"/>
      <w:r w:rsidRPr="00ED0BA0">
        <w:rPr>
          <w:rFonts w:asciiTheme="minorHAnsi" w:hAnsiTheme="minorHAnsi" w:cs="Calibri"/>
          <w:sz w:val="22"/>
          <w:szCs w:val="22"/>
        </w:rPr>
        <w:t xml:space="preserve">Wrocław, dn. </w:t>
      </w:r>
      <w:r w:rsidR="005A6CFC" w:rsidRPr="00ED0BA0">
        <w:rPr>
          <w:rFonts w:asciiTheme="minorHAnsi" w:hAnsiTheme="minorHAnsi" w:cs="Calibri"/>
          <w:sz w:val="22"/>
          <w:szCs w:val="22"/>
        </w:rPr>
        <w:t>3</w:t>
      </w:r>
      <w:r w:rsidR="005A524C" w:rsidRPr="00ED0BA0">
        <w:rPr>
          <w:rFonts w:asciiTheme="minorHAnsi" w:hAnsiTheme="minorHAnsi" w:cs="Calibri"/>
          <w:sz w:val="22"/>
          <w:szCs w:val="22"/>
        </w:rPr>
        <w:t>1</w:t>
      </w:r>
      <w:r w:rsidR="00D47D01" w:rsidRPr="00ED0BA0">
        <w:rPr>
          <w:rFonts w:asciiTheme="minorHAnsi" w:hAnsiTheme="minorHAnsi" w:cs="Calibri"/>
          <w:sz w:val="22"/>
          <w:szCs w:val="22"/>
        </w:rPr>
        <w:t>.05.</w:t>
      </w:r>
      <w:r w:rsidR="00D76DC6" w:rsidRPr="00ED0BA0">
        <w:rPr>
          <w:rFonts w:asciiTheme="minorHAnsi" w:hAnsiTheme="minorHAnsi" w:cs="Calibri"/>
          <w:sz w:val="22"/>
          <w:szCs w:val="22"/>
        </w:rPr>
        <w:t>2023</w:t>
      </w:r>
      <w:r w:rsidRPr="00ED0BA0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ED0BA0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ED0BA0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ED0BA0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907737" w:rsidRPr="00ED0BA0">
        <w:rPr>
          <w:rFonts w:asciiTheme="minorHAnsi" w:hAnsiTheme="minorHAnsi" w:cs="Calibri"/>
          <w:b/>
          <w:sz w:val="22"/>
          <w:szCs w:val="22"/>
        </w:rPr>
        <w:t>9</w:t>
      </w:r>
      <w:r w:rsidRPr="00ED0BA0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ED0BA0">
        <w:rPr>
          <w:rFonts w:asciiTheme="minorHAnsi" w:hAnsiTheme="minorHAnsi" w:cs="Calibri"/>
          <w:b/>
          <w:sz w:val="22"/>
          <w:szCs w:val="22"/>
        </w:rPr>
        <w:t>3</w:t>
      </w:r>
      <w:r w:rsidRPr="00ED0BA0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4D1F0B" w:rsidRPr="00ED0BA0" w:rsidRDefault="004D1F0B" w:rsidP="004D1F0B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E00CC4" w:rsidRPr="00ED0BA0" w:rsidRDefault="00E00CC4" w:rsidP="00907737">
      <w:pPr>
        <w:pStyle w:val="Tekstpodstawowy"/>
        <w:spacing w:before="120" w:line="276" w:lineRule="auto"/>
        <w:ind w:right="-166"/>
        <w:rPr>
          <w:rFonts w:asciiTheme="minorHAnsi" w:hAnsiTheme="minorHAnsi"/>
          <w:b/>
          <w:sz w:val="22"/>
          <w:szCs w:val="22"/>
          <w:lang w:val="pl-PL"/>
        </w:rPr>
      </w:pPr>
      <w:r w:rsidRPr="00ED0BA0">
        <w:rPr>
          <w:rFonts w:asciiTheme="minorHAnsi" w:hAnsiTheme="minorHAnsi" w:cs="Tahoma"/>
          <w:b/>
          <w:sz w:val="22"/>
          <w:szCs w:val="22"/>
        </w:rPr>
        <w:t xml:space="preserve">Dot.: postępowania prowadzonego w trybie podstawowym bez negocjacji </w:t>
      </w:r>
      <w:r w:rsidR="00907737" w:rsidRPr="00ED0BA0">
        <w:rPr>
          <w:rFonts w:asciiTheme="minorHAnsi" w:hAnsiTheme="minorHAnsi"/>
          <w:b/>
          <w:sz w:val="22"/>
          <w:szCs w:val="22"/>
          <w:lang w:val="pl-PL"/>
        </w:rPr>
        <w:t>„</w:t>
      </w:r>
      <w:r w:rsidR="00907737" w:rsidRPr="00ED0BA0">
        <w:rPr>
          <w:rFonts w:asciiTheme="minorHAnsi" w:hAnsiTheme="minorHAnsi"/>
          <w:b/>
          <w:sz w:val="22"/>
          <w:szCs w:val="22"/>
        </w:rPr>
        <w:t>Wykonanie robót budowlanych na podstawie dokumentacji projektowej pn.: Nadbudowa łącznika dla Oddziału Anestezjologii i Intensywnej Terapii Samodzielnego Publicznego Zakładu Opieki Zdrowotnej MSWiA we Wrocławiu.” w ramach zadania inwestycyjnego pn.: „Nadbudowa budynku na potrzeby Oddziału Anestezjologii i Intensywnej Terapii w SP ZOZ MSWiA we Wrocławiu”</w:t>
      </w:r>
      <w:r w:rsidR="00907737" w:rsidRPr="00ED0BA0">
        <w:rPr>
          <w:rFonts w:asciiTheme="minorHAnsi" w:hAnsiTheme="minorHAnsi"/>
          <w:b/>
          <w:sz w:val="22"/>
          <w:szCs w:val="22"/>
          <w:lang w:val="pl-PL"/>
        </w:rPr>
        <w:t>”- ETAP III</w:t>
      </w:r>
    </w:p>
    <w:p w:rsidR="00907737" w:rsidRPr="00ED0BA0" w:rsidRDefault="00907737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E00CC4" w:rsidRPr="00ED0BA0" w:rsidRDefault="00E00CC4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D0BA0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ED0BA0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ED0BA0" w:rsidRDefault="00E00CC4" w:rsidP="00D76DC6">
      <w:pPr>
        <w:pStyle w:val="Bezodstpw"/>
        <w:jc w:val="both"/>
        <w:rPr>
          <w:rFonts w:asciiTheme="minorHAnsi" w:hAnsiTheme="minorHAnsi"/>
        </w:rPr>
      </w:pPr>
      <w:r w:rsidRPr="00ED0BA0">
        <w:rPr>
          <w:rFonts w:asciiTheme="minorHAnsi" w:hAnsiTheme="minorHAnsi"/>
        </w:rPr>
        <w:t xml:space="preserve">Działając na podstawie art. </w:t>
      </w:r>
      <w:r w:rsidR="00D47D01" w:rsidRPr="00ED0BA0">
        <w:rPr>
          <w:rFonts w:asciiTheme="minorHAnsi" w:hAnsiTheme="minorHAnsi"/>
        </w:rPr>
        <w:t xml:space="preserve">284 ust.2 </w:t>
      </w:r>
      <w:r w:rsidRPr="00ED0BA0">
        <w:rPr>
          <w:rFonts w:asciiTheme="minorHAnsi" w:hAnsiTheme="minorHAnsi"/>
        </w:rPr>
        <w:t>ustawy Prawo zamówień publicznych z dnia 11 września 2019r. (Dz. U. z 2022 poz. 1710</w:t>
      </w:r>
      <w:r w:rsidR="00D76DC6" w:rsidRPr="00ED0BA0">
        <w:rPr>
          <w:rFonts w:asciiTheme="minorHAnsi" w:hAnsiTheme="minorHAnsi"/>
        </w:rPr>
        <w:t xml:space="preserve"> ze zm.</w:t>
      </w:r>
      <w:r w:rsidRPr="00ED0BA0">
        <w:rPr>
          <w:rFonts w:asciiTheme="minorHAnsi" w:hAnsiTheme="minorHAnsi" w:cs="Verdana"/>
        </w:rPr>
        <w:t>)</w:t>
      </w:r>
      <w:r w:rsidRPr="00ED0BA0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E00CC4" w:rsidRPr="00ED0BA0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BD1E89" w:rsidRPr="00ED0BA0" w:rsidRDefault="00BD1E89" w:rsidP="00B1665D">
      <w:pPr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B1665D" w:rsidRPr="00ED0BA0" w:rsidRDefault="00B1665D" w:rsidP="00B1665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ED0BA0">
        <w:rPr>
          <w:rFonts w:asciiTheme="minorHAnsi" w:hAnsiTheme="minorHAnsi" w:cs="TimesNewRomanPSMT"/>
          <w:b/>
          <w:sz w:val="22"/>
          <w:szCs w:val="22"/>
          <w:lang w:eastAsia="pl-PL"/>
        </w:rPr>
        <w:t xml:space="preserve">Pytanie nr </w:t>
      </w:r>
      <w:r w:rsidR="005A524C" w:rsidRPr="00ED0BA0">
        <w:rPr>
          <w:rFonts w:asciiTheme="minorHAnsi" w:hAnsiTheme="minorHAnsi" w:cs="TimesNewRomanPSMT"/>
          <w:b/>
          <w:sz w:val="22"/>
          <w:szCs w:val="22"/>
          <w:lang w:eastAsia="pl-PL"/>
        </w:rPr>
        <w:t>1</w:t>
      </w:r>
    </w:p>
    <w:p w:rsidR="00FB588D" w:rsidRPr="00ED0BA0" w:rsidRDefault="00FB588D" w:rsidP="00B1665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ED0BA0">
        <w:rPr>
          <w:rFonts w:asciiTheme="minorHAnsi" w:hAnsiTheme="minorHAnsi"/>
          <w:sz w:val="22"/>
          <w:szCs w:val="22"/>
        </w:rPr>
        <w:t xml:space="preserve">Proszę o informację jaki całkowity zakres prac ujęty jest w pozycji nr 54 przedmiaru robót branży elektrycznej. Obmiar tej pozycji to 1 </w:t>
      </w:r>
      <w:proofErr w:type="spellStart"/>
      <w:r w:rsidRPr="00ED0BA0">
        <w:rPr>
          <w:rFonts w:asciiTheme="minorHAnsi" w:hAnsiTheme="minorHAnsi"/>
          <w:sz w:val="22"/>
          <w:szCs w:val="22"/>
        </w:rPr>
        <w:t>kpl</w:t>
      </w:r>
      <w:proofErr w:type="spellEnd"/>
      <w:r w:rsidRPr="00ED0BA0">
        <w:rPr>
          <w:rFonts w:asciiTheme="minorHAnsi" w:hAnsiTheme="minorHAnsi"/>
          <w:sz w:val="22"/>
          <w:szCs w:val="22"/>
        </w:rPr>
        <w:t>. Rozliczenie jest kosztorysowe. Ujęcie w jednej pozycji prac których Wykonawca nie jest w stanie określić może prowadzić do nieprawidłowego skalkulowania ceny całkowitej oferty.</w:t>
      </w:r>
    </w:p>
    <w:p w:rsidR="00B1665D" w:rsidRPr="00ED0BA0" w:rsidRDefault="00B1665D" w:rsidP="00B1665D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D0BA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</w:t>
      </w:r>
      <w:r w:rsidR="005A524C" w:rsidRPr="00ED0BA0"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 w:rsidRPr="00ED0BA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: </w:t>
      </w:r>
    </w:p>
    <w:p w:rsidR="00ED0BA0" w:rsidRPr="00ED0BA0" w:rsidRDefault="00ED0BA0" w:rsidP="00ED0BA0">
      <w:pPr>
        <w:jc w:val="both"/>
        <w:rPr>
          <w:rFonts w:asciiTheme="minorHAnsi" w:hAnsiTheme="minorHAnsi"/>
          <w:sz w:val="22"/>
          <w:szCs w:val="22"/>
        </w:rPr>
      </w:pPr>
      <w:r w:rsidRPr="00ED0BA0">
        <w:rPr>
          <w:rFonts w:asciiTheme="minorHAnsi" w:hAnsiTheme="minorHAnsi"/>
          <w:sz w:val="22"/>
          <w:szCs w:val="22"/>
        </w:rPr>
        <w:t>Zamawiający wyjaśnia, że zakres pozycji nr 54 dla kondygnacji parteru i pierwszego piętra w  przedmiarze należy traktować przez analogię do pozycji 43-53 dział 1.3, gdzie ujęto roboty dla drugiego piętra. Na każdej kondygnacji należy przyjąć ilości analogiczne do podanych w punktach 43-53.</w:t>
      </w:r>
    </w:p>
    <w:p w:rsidR="00FB588D" w:rsidRPr="00ED0BA0" w:rsidRDefault="00FB588D">
      <w:pPr>
        <w:rPr>
          <w:rFonts w:asciiTheme="minorHAnsi" w:hAnsiTheme="minorHAnsi"/>
          <w:sz w:val="22"/>
          <w:szCs w:val="22"/>
        </w:rPr>
      </w:pPr>
    </w:p>
    <w:p w:rsidR="00FB588D" w:rsidRPr="00ED0BA0" w:rsidRDefault="00FB588D" w:rsidP="00FB588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ED0BA0">
        <w:rPr>
          <w:rFonts w:asciiTheme="minorHAnsi" w:hAnsiTheme="minorHAnsi" w:cs="TimesNewRomanPSMT"/>
          <w:b/>
          <w:sz w:val="22"/>
          <w:szCs w:val="22"/>
          <w:lang w:eastAsia="pl-PL"/>
        </w:rPr>
        <w:t xml:space="preserve">Pytanie nr </w:t>
      </w:r>
      <w:r w:rsidR="005A524C" w:rsidRPr="00ED0BA0">
        <w:rPr>
          <w:rFonts w:asciiTheme="minorHAnsi" w:hAnsiTheme="minorHAnsi" w:cs="TimesNewRomanPSMT"/>
          <w:b/>
          <w:sz w:val="22"/>
          <w:szCs w:val="22"/>
          <w:lang w:eastAsia="pl-PL"/>
        </w:rPr>
        <w:t>2</w:t>
      </w:r>
    </w:p>
    <w:p w:rsidR="00FB588D" w:rsidRPr="00ED0BA0" w:rsidRDefault="00FB588D" w:rsidP="00FB588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ED0BA0">
        <w:rPr>
          <w:rFonts w:asciiTheme="minorHAnsi" w:hAnsiTheme="minorHAnsi"/>
          <w:sz w:val="22"/>
          <w:szCs w:val="22"/>
        </w:rPr>
        <w:t xml:space="preserve">Proszę o informację jaki całkowity zakres prac ujęty jest w pozycji nr 66 przedmiaru robót branży elektrycznej. Obmiar tej pozycji to 1 </w:t>
      </w:r>
      <w:proofErr w:type="spellStart"/>
      <w:r w:rsidRPr="00ED0BA0">
        <w:rPr>
          <w:rFonts w:asciiTheme="minorHAnsi" w:hAnsiTheme="minorHAnsi"/>
          <w:sz w:val="22"/>
          <w:szCs w:val="22"/>
        </w:rPr>
        <w:t>kpl</w:t>
      </w:r>
      <w:proofErr w:type="spellEnd"/>
      <w:r w:rsidRPr="00ED0BA0">
        <w:rPr>
          <w:rFonts w:asciiTheme="minorHAnsi" w:hAnsiTheme="minorHAnsi"/>
          <w:sz w:val="22"/>
          <w:szCs w:val="22"/>
        </w:rPr>
        <w:t>. Rozliczenie jest kosztorysowe. Ujęcie w jednej pozycji prac których Wykonawca nie jest w stanie określić może prowadzić do nieprawidłowego skalkulowania ceny całkowitej oferty.</w:t>
      </w:r>
    </w:p>
    <w:p w:rsidR="00FB588D" w:rsidRPr="00ED0BA0" w:rsidRDefault="00FB588D" w:rsidP="00FB588D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D0BA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</w:t>
      </w:r>
      <w:r w:rsidR="005A524C" w:rsidRPr="00ED0BA0">
        <w:rPr>
          <w:rFonts w:asciiTheme="minorHAnsi" w:eastAsia="Calibri" w:hAnsiTheme="minorHAnsi" w:cs="Arial"/>
          <w:b/>
          <w:sz w:val="22"/>
          <w:szCs w:val="22"/>
          <w:lang w:eastAsia="en-US"/>
        </w:rPr>
        <w:t>2</w:t>
      </w:r>
      <w:r w:rsidRPr="00ED0BA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: </w:t>
      </w:r>
    </w:p>
    <w:p w:rsidR="00ED0BA0" w:rsidRPr="00ED0BA0" w:rsidRDefault="00ED0BA0" w:rsidP="00ED0BA0">
      <w:pPr>
        <w:jc w:val="both"/>
        <w:rPr>
          <w:rFonts w:asciiTheme="minorHAnsi" w:hAnsiTheme="minorHAnsi"/>
          <w:sz w:val="22"/>
          <w:szCs w:val="22"/>
        </w:rPr>
      </w:pPr>
      <w:r w:rsidRPr="00ED0BA0">
        <w:rPr>
          <w:rFonts w:asciiTheme="minorHAnsi" w:hAnsiTheme="minorHAnsi"/>
          <w:sz w:val="22"/>
          <w:szCs w:val="22"/>
        </w:rPr>
        <w:t xml:space="preserve">Zamawiający wyjaśnia, że zakres pozycji nr 66 dla kondygnacji parteru i </w:t>
      </w:r>
      <w:proofErr w:type="spellStart"/>
      <w:r w:rsidRPr="00ED0BA0">
        <w:rPr>
          <w:rFonts w:asciiTheme="minorHAnsi" w:hAnsiTheme="minorHAnsi"/>
          <w:sz w:val="22"/>
          <w:szCs w:val="22"/>
        </w:rPr>
        <w:t>I</w:t>
      </w:r>
      <w:proofErr w:type="spellEnd"/>
      <w:r w:rsidRPr="00ED0BA0">
        <w:rPr>
          <w:rFonts w:asciiTheme="minorHAnsi" w:hAnsiTheme="minorHAnsi"/>
          <w:sz w:val="22"/>
          <w:szCs w:val="22"/>
        </w:rPr>
        <w:t xml:space="preserve"> pietra w przedmiarze należy traktować przez analogię do pozycji 55-65 dział 1.4, gdzie ujęto roboty dla drugiego piętra. Na każdej kondygnacji należy przyjąć ilości analogiczne do podanych w punktach 55-65.</w:t>
      </w:r>
    </w:p>
    <w:bookmarkEnd w:id="0"/>
    <w:p w:rsidR="00ED0BA0" w:rsidRPr="00ED0BA0" w:rsidRDefault="00ED0BA0" w:rsidP="00FB588D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FB588D" w:rsidRPr="00ED0BA0" w:rsidRDefault="00FB588D">
      <w:pPr>
        <w:rPr>
          <w:rFonts w:asciiTheme="minorHAnsi" w:hAnsiTheme="minorHAnsi"/>
          <w:sz w:val="22"/>
          <w:szCs w:val="22"/>
        </w:rPr>
      </w:pPr>
    </w:p>
    <w:sectPr w:rsidR="00FB588D" w:rsidRPr="00ED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354B3852"/>
    <w:multiLevelType w:val="hybridMultilevel"/>
    <w:tmpl w:val="B098455E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51445B21"/>
    <w:multiLevelType w:val="hybridMultilevel"/>
    <w:tmpl w:val="D4F41D18"/>
    <w:lvl w:ilvl="0" w:tplc="39447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1E604E"/>
    <w:rsid w:val="002759DF"/>
    <w:rsid w:val="002B052E"/>
    <w:rsid w:val="004821D4"/>
    <w:rsid w:val="004B79AE"/>
    <w:rsid w:val="004D1F0B"/>
    <w:rsid w:val="00520BE4"/>
    <w:rsid w:val="005A524C"/>
    <w:rsid w:val="005A6CFC"/>
    <w:rsid w:val="00622100"/>
    <w:rsid w:val="00752A0A"/>
    <w:rsid w:val="00907737"/>
    <w:rsid w:val="00976559"/>
    <w:rsid w:val="009C1A2F"/>
    <w:rsid w:val="009F6934"/>
    <w:rsid w:val="00AB64F8"/>
    <w:rsid w:val="00B1665D"/>
    <w:rsid w:val="00BD1E89"/>
    <w:rsid w:val="00C306E6"/>
    <w:rsid w:val="00C416E0"/>
    <w:rsid w:val="00D47D01"/>
    <w:rsid w:val="00D76DC6"/>
    <w:rsid w:val="00E00CC4"/>
    <w:rsid w:val="00ED0BA0"/>
    <w:rsid w:val="00FB588D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20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2022-09-26T11:58:00Z</cp:lastPrinted>
  <dcterms:created xsi:type="dcterms:W3CDTF">2023-05-31T10:54:00Z</dcterms:created>
  <dcterms:modified xsi:type="dcterms:W3CDTF">2023-05-31T10:54:00Z</dcterms:modified>
</cp:coreProperties>
</file>