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EC9F8" w14:textId="68324143" w:rsidR="00FF23F8" w:rsidRDefault="00FF23F8" w:rsidP="00FF23F8">
      <w:pPr>
        <w:spacing w:after="0" w:line="240" w:lineRule="auto"/>
        <w:jc w:val="right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  <w:r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 Załącznik nr 2</w:t>
      </w:r>
      <w:r w:rsidR="00A6768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.2</w:t>
      </w:r>
      <w:r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 do SWZ</w:t>
      </w:r>
    </w:p>
    <w:p w14:paraId="473A3893" w14:textId="77777777" w:rsidR="00FF23F8" w:rsidRDefault="00FF23F8" w:rsidP="00514906">
      <w:pPr>
        <w:spacing w:after="0" w:line="240" w:lineRule="auto"/>
        <w:jc w:val="center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</w:p>
    <w:p w14:paraId="7D8B1433" w14:textId="568FC53E" w:rsidR="00514906" w:rsidRDefault="000E079E" w:rsidP="00514906">
      <w:pPr>
        <w:spacing w:after="0" w:line="240" w:lineRule="auto"/>
        <w:jc w:val="center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  <w:r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Opis przedmiotu zamówienia</w:t>
      </w:r>
    </w:p>
    <w:p w14:paraId="5B92E043" w14:textId="77777777" w:rsidR="00514906" w:rsidRPr="00514906" w:rsidRDefault="00514906" w:rsidP="00CC492D">
      <w:pPr>
        <w:spacing w:after="0" w:line="240" w:lineRule="auto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</w:p>
    <w:p w14:paraId="2CB24E5F" w14:textId="6E998E27" w:rsidR="00514906" w:rsidRPr="00241C4E" w:rsidRDefault="009341FB" w:rsidP="00CC492D">
      <w:pPr>
        <w:spacing w:after="0" w:line="240" w:lineRule="auto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  <w:r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I. </w:t>
      </w:r>
      <w:r w:rsidR="00514906" w:rsidRPr="00241C4E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Przedmiot zamówienia</w:t>
      </w:r>
    </w:p>
    <w:p w14:paraId="663AE7B1" w14:textId="77777777" w:rsidR="00241C4E" w:rsidRPr="00241C4E" w:rsidRDefault="00241C4E" w:rsidP="00CC492D">
      <w:pPr>
        <w:pStyle w:val="Akapitzlist"/>
        <w:spacing w:after="0" w:line="240" w:lineRule="auto"/>
        <w:ind w:left="1080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</w:p>
    <w:p w14:paraId="72307B53" w14:textId="466F467A" w:rsidR="001A1A9D" w:rsidRDefault="00832BA2" w:rsidP="00CC492D">
      <w:pPr>
        <w:spacing w:after="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Przedmiotem zamówienia </w:t>
      </w:r>
      <w:r w:rsidR="00776879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są systemy do </w:t>
      </w:r>
      <w:r w:rsidR="00CC492D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prowadzenia analiz elektroforetycznych i transferu białek kompatybilne z posiadanym przez Grupę Badawczą zasilaczem </w:t>
      </w:r>
      <w:proofErr w:type="spellStart"/>
      <w:r w:rsidR="00CC492D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PowerPack</w:t>
      </w:r>
      <w:proofErr w:type="spellEnd"/>
      <w:r w:rsidR="00CC492D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.</w:t>
      </w:r>
    </w:p>
    <w:p w14:paraId="1B12817B" w14:textId="2FFDFC50" w:rsidR="00832BA2" w:rsidRDefault="00832BA2" w:rsidP="00CC492D">
      <w:pPr>
        <w:spacing w:after="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</w:p>
    <w:p w14:paraId="3DC55E7B" w14:textId="5A02C5DF" w:rsidR="00832BA2" w:rsidRDefault="00832BA2" w:rsidP="00CC492D">
      <w:pPr>
        <w:spacing w:after="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W skład zestaw</w:t>
      </w:r>
      <w:r w:rsidR="007D22CD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u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dostarczanego wchodzi:</w:t>
      </w:r>
    </w:p>
    <w:p w14:paraId="33247351" w14:textId="77777777" w:rsidR="00F72432" w:rsidRPr="00F72432" w:rsidRDefault="00F72432" w:rsidP="00CC492D">
      <w:pPr>
        <w:pStyle w:val="Akapitzlist"/>
        <w:numPr>
          <w:ilvl w:val="0"/>
          <w:numId w:val="19"/>
        </w:numPr>
        <w:spacing w:after="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F72432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Instrument do transferu białek typu </w:t>
      </w:r>
      <w:proofErr w:type="spellStart"/>
      <w:r w:rsidRPr="00F72432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Blotting</w:t>
      </w:r>
      <w:proofErr w:type="spellEnd"/>
      <w:r w:rsidRPr="00F72432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, w skład którego wchodzą: baza, 2 kasety do trzymania od 1 do 2 bloku midi lub do 4 mini bloku transferowego, rolka do </w:t>
      </w:r>
      <w:proofErr w:type="spellStart"/>
      <w:r w:rsidRPr="00F72432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blotu</w:t>
      </w:r>
      <w:proofErr w:type="spellEnd"/>
      <w:r w:rsidRPr="00F72432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. </w:t>
      </w:r>
    </w:p>
    <w:p w14:paraId="7F674A4D" w14:textId="4A2B2650" w:rsidR="00E341AF" w:rsidRPr="009B1FD4" w:rsidRDefault="007D22CD" w:rsidP="00CC492D">
      <w:pPr>
        <w:pStyle w:val="Akapitzlist"/>
        <w:numPr>
          <w:ilvl w:val="0"/>
          <w:numId w:val="19"/>
        </w:numPr>
        <w:spacing w:after="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9268E4">
        <w:rPr>
          <w:rFonts w:asciiTheme="majorHAnsi" w:eastAsia="Calibri" w:hAnsiTheme="majorHAnsi" w:cs="Roboto Lt"/>
          <w:b/>
          <w:bCs/>
          <w:color w:val="000000"/>
          <w:szCs w:val="20"/>
        </w:rPr>
        <w:t xml:space="preserve">Zestaw do elektroforezy i </w:t>
      </w:r>
      <w:proofErr w:type="spellStart"/>
      <w:r w:rsidRPr="009268E4">
        <w:rPr>
          <w:rFonts w:asciiTheme="majorHAnsi" w:eastAsia="Calibri" w:hAnsiTheme="majorHAnsi" w:cs="Roboto Lt"/>
          <w:b/>
          <w:bCs/>
          <w:color w:val="000000"/>
          <w:szCs w:val="20"/>
        </w:rPr>
        <w:t>blottingu</w:t>
      </w:r>
      <w:proofErr w:type="spellEnd"/>
      <w:r>
        <w:rPr>
          <w:rFonts w:asciiTheme="majorHAnsi" w:eastAsia="Calibri" w:hAnsiTheme="majorHAnsi" w:cs="Roboto Lt"/>
          <w:b/>
          <w:bCs/>
          <w:color w:val="000000"/>
          <w:szCs w:val="20"/>
        </w:rPr>
        <w:t xml:space="preserve"> składający się z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</w:t>
      </w:r>
      <w:r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s</w:t>
      </w:r>
      <w:r w:rsidRPr="00237F39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ystem</w:t>
      </w:r>
      <w:r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u</w:t>
      </w:r>
      <w:r w:rsidRPr="00237F39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 elektroforezy pionowej </w:t>
      </w:r>
      <w:r w:rsidRPr="009268E4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typu </w:t>
      </w:r>
      <w:r w:rsidRPr="00237F39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Mini </w:t>
      </w:r>
      <w:r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i m</w:t>
      </w:r>
      <w:r w:rsidRPr="00237F39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oduł</w:t>
      </w:r>
      <w:r w:rsidR="005F1338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u</w:t>
      </w:r>
      <w:r w:rsidRPr="00237F39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 </w:t>
      </w:r>
      <w:proofErr w:type="spellStart"/>
      <w:r w:rsidRPr="00237F39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blottingow</w:t>
      </w:r>
      <w:r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ego</w:t>
      </w:r>
      <w:proofErr w:type="spellEnd"/>
      <w:r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 </w:t>
      </w:r>
      <w:r w:rsidRPr="007D22CD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typu </w:t>
      </w:r>
      <w:r w:rsidRPr="00237F39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Mini Trans-</w:t>
      </w:r>
      <w:proofErr w:type="spellStart"/>
      <w:r w:rsidRPr="00237F39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Blot</w:t>
      </w:r>
      <w:proofErr w:type="spellEnd"/>
      <w:r w:rsidRPr="00237F39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 </w:t>
      </w:r>
    </w:p>
    <w:p w14:paraId="23DD5A85" w14:textId="77777777" w:rsidR="008853F0" w:rsidRPr="00273DF6" w:rsidRDefault="008853F0" w:rsidP="00CC492D">
      <w:pPr>
        <w:pStyle w:val="NormalnyWeb"/>
        <w:numPr>
          <w:ilvl w:val="0"/>
          <w:numId w:val="19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273DF6">
        <w:rPr>
          <w:rFonts w:asciiTheme="minorHAnsi" w:hAnsiTheme="minorHAnsi"/>
          <w:b/>
          <w:bCs/>
          <w:sz w:val="20"/>
          <w:szCs w:val="20"/>
        </w:rPr>
        <w:t xml:space="preserve">Systemy do elektroforezy poziomej </w:t>
      </w:r>
    </w:p>
    <w:p w14:paraId="6572C7C9" w14:textId="77777777" w:rsidR="00E341AF" w:rsidRDefault="00E341AF" w:rsidP="00CC492D">
      <w:pPr>
        <w:spacing w:after="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</w:p>
    <w:p w14:paraId="32506133" w14:textId="77777777" w:rsidR="00237F39" w:rsidRPr="00237F39" w:rsidRDefault="00237F39" w:rsidP="00CC492D">
      <w:pPr>
        <w:spacing w:after="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237F39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Wymagania dotyczące przedmiotu zamówienia:</w:t>
      </w:r>
    </w:p>
    <w:p w14:paraId="50ADA6E9" w14:textId="77777777" w:rsidR="00237F39" w:rsidRPr="00237F39" w:rsidRDefault="00237F39" w:rsidP="00CC492D">
      <w:pPr>
        <w:numPr>
          <w:ilvl w:val="0"/>
          <w:numId w:val="24"/>
        </w:numPr>
        <w:spacing w:after="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237F39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Dostarczone urządzenia i akcesoria muszą być fabrycznie nowe, nieużywane, wolne od wad fizycznych i prawnych, a także w pełni zgodne z opisem zawartym w dokumentacji technicznej producenta.</w:t>
      </w:r>
    </w:p>
    <w:p w14:paraId="30E91A21" w14:textId="77777777" w:rsidR="00237F39" w:rsidRPr="00237F39" w:rsidRDefault="00237F39" w:rsidP="00CC492D">
      <w:pPr>
        <w:numPr>
          <w:ilvl w:val="0"/>
          <w:numId w:val="24"/>
        </w:numPr>
        <w:spacing w:after="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237F39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Produkty muszą być oryginalnie zapakowane, a ich opakowania nie mogą być uszkodzone.</w:t>
      </w:r>
    </w:p>
    <w:p w14:paraId="799C2386" w14:textId="77777777" w:rsidR="00237F39" w:rsidRPr="00237F39" w:rsidRDefault="00237F39" w:rsidP="00CC492D">
      <w:pPr>
        <w:numPr>
          <w:ilvl w:val="0"/>
          <w:numId w:val="24"/>
        </w:numPr>
        <w:spacing w:after="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237F39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Do każdego z elementów zestawu musi być dołączona pełna dokumentacja techniczna oraz instrukcja obsługi w języku polskim lub angielskim.</w:t>
      </w:r>
    </w:p>
    <w:p w14:paraId="760BCD14" w14:textId="18148DAE" w:rsidR="00237F39" w:rsidRPr="00237F39" w:rsidRDefault="00237F39" w:rsidP="00CC492D">
      <w:pPr>
        <w:numPr>
          <w:ilvl w:val="0"/>
          <w:numId w:val="24"/>
        </w:numPr>
        <w:spacing w:after="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237F39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Gwarancja na dostarczone urządzenia i akcesoria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(z wyłączeniem </w:t>
      </w:r>
      <w:r w:rsidR="007D22CD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odczynników i 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materiałów zużywalny</w:t>
      </w:r>
      <w:r w:rsidR="007D22CD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ch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wchodzących w skład zestawów)</w:t>
      </w:r>
      <w:r w:rsidRPr="00237F39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nie może być krótsza niż 12 miesięcy od daty odbioru przedmiotu zamówienia.</w:t>
      </w:r>
    </w:p>
    <w:p w14:paraId="7F3E616A" w14:textId="172C202A" w:rsidR="00832BA2" w:rsidRDefault="00832BA2" w:rsidP="00CC492D">
      <w:pPr>
        <w:spacing w:after="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</w:p>
    <w:p w14:paraId="12DA9A17" w14:textId="77777777" w:rsidR="00832BA2" w:rsidRPr="001E359C" w:rsidRDefault="00832BA2" w:rsidP="00CC492D">
      <w:pPr>
        <w:spacing w:after="0" w:line="240" w:lineRule="auto"/>
        <w:rPr>
          <w:rFonts w:ascii="Verdana" w:eastAsia="Times New Roman" w:hAnsi="Verdana" w:cs="Calibri"/>
          <w:color w:val="000000"/>
          <w:spacing w:val="0"/>
          <w:sz w:val="18"/>
          <w:szCs w:val="18"/>
          <w:lang w:eastAsia="pl-PL"/>
        </w:rPr>
      </w:pPr>
    </w:p>
    <w:p w14:paraId="52C9FD33" w14:textId="78F12D99" w:rsidR="00145CEF" w:rsidRDefault="00514906" w:rsidP="00CC492D">
      <w:pPr>
        <w:spacing w:after="0" w:line="240" w:lineRule="auto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  <w:r w:rsidRPr="0051490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II. </w:t>
      </w:r>
      <w:r w:rsidR="001A1A9D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Minimalne p</w:t>
      </w:r>
      <w:r w:rsidRPr="0051490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arametry techniczne</w:t>
      </w:r>
      <w:r w:rsidR="001A1A9D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:</w:t>
      </w:r>
    </w:p>
    <w:p w14:paraId="576F45E2" w14:textId="62D8E051" w:rsidR="001A1A9D" w:rsidRDefault="001A1A9D" w:rsidP="00CC492D">
      <w:pPr>
        <w:spacing w:after="0" w:line="240" w:lineRule="auto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</w:p>
    <w:p w14:paraId="24101E1B" w14:textId="7FEAD13A" w:rsidR="00776879" w:rsidRPr="00C57CFA" w:rsidRDefault="00742F01" w:rsidP="00CC492D">
      <w:pPr>
        <w:pStyle w:val="Akapitzlist"/>
        <w:numPr>
          <w:ilvl w:val="0"/>
          <w:numId w:val="27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742F01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Instrument do transferu białek typu </w:t>
      </w:r>
      <w:proofErr w:type="spellStart"/>
      <w:r w:rsidRPr="00742F01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Blotting</w:t>
      </w:r>
      <w:proofErr w:type="spellEnd"/>
      <w:r w:rsidRPr="00742F01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, w skład którego wchodzą: baza, 2 kasety do trzymania od 1 do 2 bloku midi lub do 4 mini bloku transferowego, rolka do </w:t>
      </w:r>
      <w:proofErr w:type="spellStart"/>
      <w:r w:rsidRPr="00742F01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blotu</w:t>
      </w:r>
      <w:proofErr w:type="spellEnd"/>
      <w:r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. </w:t>
      </w:r>
      <w:r w:rsidR="00F72432" w:rsidRPr="00F72432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System </w:t>
      </w:r>
      <w:r w:rsidR="00F72432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dostarczany w zamówieniu</w:t>
      </w:r>
      <w:r w:rsidR="00F72432" w:rsidRPr="00F72432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to zaawansowane urządzenie do transferu białek metodą western </w:t>
      </w:r>
      <w:proofErr w:type="spellStart"/>
      <w:r w:rsidR="00F72432" w:rsidRPr="00F72432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blotting</w:t>
      </w:r>
      <w:proofErr w:type="spellEnd"/>
      <w:r w:rsidR="00F72432" w:rsidRPr="00F72432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, zaprojektowane w celu zapewnienia szybkiego i wydajnego transferu. </w:t>
      </w:r>
      <w:r w:rsidR="00F72432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Musi u</w:t>
      </w:r>
      <w:r w:rsidR="00F72432" w:rsidRPr="00F72432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możliwia</w:t>
      </w:r>
      <w:r w:rsidR="00F72432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ć</w:t>
      </w:r>
      <w:r w:rsidR="00F72432" w:rsidRPr="00F72432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przeprowadzenie transferu białek w czasie zaledwie 3 minut bez utraty jakości w porównaniu do tradycyjnego tankowego </w:t>
      </w:r>
      <w:proofErr w:type="spellStart"/>
      <w:r w:rsidR="00F72432" w:rsidRPr="00F72432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blotu</w:t>
      </w:r>
      <w:proofErr w:type="spellEnd"/>
      <w:r w:rsidR="00F72432" w:rsidRPr="00F72432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. </w:t>
      </w:r>
      <w:r w:rsidR="007D22CD" w:rsidRPr="00C57CFA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Musi </w:t>
      </w:r>
      <w:r w:rsidR="00F72432" w:rsidRPr="00C57CFA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pozwalać</w:t>
      </w:r>
      <w:r w:rsidR="007D22CD" w:rsidRPr="00C57CFA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na transfer białek uzyskanych w procesie elektroforezy w systemie elektroforezy pionowej typu </w:t>
      </w:r>
      <w:r w:rsidR="001A3F93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M</w:t>
      </w:r>
      <w:r w:rsidR="007D22CD" w:rsidRPr="00C57CFA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ini</w:t>
      </w:r>
      <w:r w:rsidR="00836CD0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</w:t>
      </w:r>
      <w:r w:rsidR="007D22CD" w:rsidRPr="00C57CFA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PROTEAN dostarczanej w ramach przedmiotu z punku 2.1.</w:t>
      </w:r>
    </w:p>
    <w:p w14:paraId="15C9EBFF" w14:textId="7479835D" w:rsidR="00F72432" w:rsidRPr="00F72432" w:rsidRDefault="00F72432" w:rsidP="00CC492D">
      <w:p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Komponenty systemu</w:t>
      </w:r>
      <w:r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 i specyfikacja techniczna</w:t>
      </w: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:</w:t>
      </w:r>
    </w:p>
    <w:p w14:paraId="7E6F5480" w14:textId="4513B717" w:rsidR="00F72432" w:rsidRPr="00F72432" w:rsidRDefault="00F72432" w:rsidP="00CC492D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Instrument Transferu </w:t>
      </w:r>
      <w:r w:rsidR="006422B7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białek typu </w:t>
      </w:r>
      <w:proofErr w:type="spellStart"/>
      <w:r w:rsidR="006422B7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blotting</w:t>
      </w:r>
      <w:proofErr w:type="spellEnd"/>
    </w:p>
    <w:p w14:paraId="10099B8D" w14:textId="19D01D1A" w:rsidR="00F72432" w:rsidRPr="00F72432" w:rsidRDefault="00F72432" w:rsidP="00CC492D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Wymiary: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(Dł. x Szer. x Wys.) 26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>,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>0 x 21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>,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>1 x 20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>,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>4 cm</w:t>
      </w:r>
      <w:r w:rsidR="001A3F93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</w:t>
      </w:r>
      <w:r w:rsidR="001A3F93" w:rsidRPr="001A3F93">
        <w:rPr>
          <w:rFonts w:eastAsia="Times New Roman" w:cs="Times New Roman"/>
          <w:color w:val="auto"/>
          <w:spacing w:val="0"/>
          <w:szCs w:val="20"/>
          <w:lang w:eastAsia="pl-PL"/>
        </w:rPr>
        <w:t>(+/- 2%)</w:t>
      </w:r>
    </w:p>
    <w:p w14:paraId="53B4AFBA" w14:textId="77777777" w:rsidR="00F72432" w:rsidRPr="00F72432" w:rsidRDefault="00F72432" w:rsidP="00CC492D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lastRenderedPageBreak/>
        <w:t>Zasilanie: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100–240 VAC, 276 VA, 50–60 </w:t>
      </w:r>
      <w:proofErr w:type="spellStart"/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>Hz</w:t>
      </w:r>
      <w:proofErr w:type="spellEnd"/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>, maksymalnie 175 W</w:t>
      </w:r>
    </w:p>
    <w:p w14:paraId="55C65E3E" w14:textId="0A6183EC" w:rsidR="00F72432" w:rsidRPr="00F72432" w:rsidRDefault="00F72432" w:rsidP="00CC492D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Bezpieczniki: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Dwa bezpieczniki 6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>.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>3 A, 250 V, umieszczone powyżej złącza zasilania</w:t>
      </w:r>
    </w:p>
    <w:p w14:paraId="361A4B0A" w14:textId="77777777" w:rsidR="00F72432" w:rsidRPr="00F72432" w:rsidRDefault="00F72432" w:rsidP="00CC492D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Włącznik/wyłącznik: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Tak, z podłączeniem do sieci</w:t>
      </w:r>
    </w:p>
    <w:p w14:paraId="29BD824B" w14:textId="77777777" w:rsidR="00F72432" w:rsidRPr="00F72432" w:rsidRDefault="00F72432" w:rsidP="00CC492D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Port USB: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Tak, do aktualizacji oprogramowania (wejściowy)</w:t>
      </w:r>
    </w:p>
    <w:p w14:paraId="663C51E8" w14:textId="77777777" w:rsidR="00F72432" w:rsidRPr="00F72432" w:rsidRDefault="00F72432" w:rsidP="00CC492D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Wentylator chłodzący: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Tak</w:t>
      </w:r>
    </w:p>
    <w:p w14:paraId="331F293E" w14:textId="77777777" w:rsidR="00F72432" w:rsidRPr="00F72432" w:rsidRDefault="00F72432" w:rsidP="00CC492D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Moc wyjściowa: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0–26 VAC (w krokach 1 V), 0–2.6 A DC (w krokach 0.1 A) dla każdej kasety</w:t>
      </w:r>
    </w:p>
    <w:p w14:paraId="4D7E01F2" w14:textId="77777777" w:rsidR="00F72432" w:rsidRPr="00F72432" w:rsidRDefault="00F72432" w:rsidP="00CC492D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Warunki pracy: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Temperatura otoczenia 15–31°C, wilgotność względna 0–95% (nie skraplająca się)</w:t>
      </w:r>
    </w:p>
    <w:p w14:paraId="761D7342" w14:textId="77777777" w:rsidR="00F72432" w:rsidRPr="00F72432" w:rsidRDefault="00F72432" w:rsidP="00CC492D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Interfejs użytkownika: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Klawiatura z 18 przyciskami, monochromatyczny wyświetlacz 128 x 64 pikseli</w:t>
      </w:r>
    </w:p>
    <w:p w14:paraId="62DB9CB7" w14:textId="77777777" w:rsidR="00F72432" w:rsidRPr="00F72432" w:rsidRDefault="00F72432" w:rsidP="00CC492D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Programowalne metody: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Do 25 zdefiniowanych przez użytkownika</w:t>
      </w:r>
    </w:p>
    <w:p w14:paraId="1E180E7F" w14:textId="57C8B86E" w:rsidR="00F72432" w:rsidRPr="00F72432" w:rsidRDefault="00F72432" w:rsidP="00CC492D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Wstępnie zaprogramowane metody: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tak, dla podstawowych 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>parametrów żeli</w:t>
      </w:r>
    </w:p>
    <w:p w14:paraId="1BF0D4D6" w14:textId="77777777" w:rsidR="00F72432" w:rsidRPr="00F72432" w:rsidRDefault="00F72432" w:rsidP="00CC492D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Alarm dźwiękowy: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Tak</w:t>
      </w:r>
    </w:p>
    <w:p w14:paraId="0121E026" w14:textId="77777777" w:rsidR="00F72432" w:rsidRPr="00F72432" w:rsidRDefault="00F72432" w:rsidP="00CC492D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Powiadomienia użytkownika: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• Awaria zasilania podczas pracy • Brak obciążenia • Brak wykrycia kasety • Koniec pracy • Limit zużycia energii</w:t>
      </w:r>
    </w:p>
    <w:p w14:paraId="0BA0D372" w14:textId="77777777" w:rsidR="00F72432" w:rsidRPr="00F72432" w:rsidRDefault="00F72432" w:rsidP="00CC492D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Kasety do transferu Trans-</w:t>
      </w:r>
      <w:proofErr w:type="spellStart"/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Blot</w:t>
      </w:r>
      <w:proofErr w:type="spellEnd"/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 Turbo</w:t>
      </w:r>
    </w:p>
    <w:p w14:paraId="33DC7463" w14:textId="29AAEC9E" w:rsidR="00F72432" w:rsidRPr="00F72432" w:rsidRDefault="00F72432" w:rsidP="00CC492D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Wymiary: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(Dł. x Szer. x Wys.) 20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>,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>2 x 16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>,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>0 x 4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>,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>5 cm</w:t>
      </w:r>
      <w:r w:rsidR="001A3F93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</w:t>
      </w:r>
      <w:r w:rsidR="001A3F93" w:rsidRPr="001A3F93">
        <w:rPr>
          <w:rFonts w:eastAsia="Times New Roman" w:cs="Times New Roman"/>
          <w:color w:val="auto"/>
          <w:spacing w:val="0"/>
          <w:szCs w:val="20"/>
          <w:lang w:eastAsia="pl-PL"/>
        </w:rPr>
        <w:t>(+/- 2%)</w:t>
      </w:r>
    </w:p>
    <w:p w14:paraId="2B69D33E" w14:textId="77777777" w:rsidR="00F72432" w:rsidRPr="00F72432" w:rsidRDefault="00F72432" w:rsidP="00CC492D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Anoda: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Płytka elektrody z platynowanego tytanu</w:t>
      </w:r>
    </w:p>
    <w:p w14:paraId="15D9C87B" w14:textId="77777777" w:rsidR="00F72432" w:rsidRPr="00F72432" w:rsidRDefault="00F72432" w:rsidP="00CC492D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Katoda: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Stal nierdzewna</w:t>
      </w:r>
    </w:p>
    <w:p w14:paraId="5EECD56F" w14:textId="66C93F11" w:rsidR="00F72432" w:rsidRPr="00F72432" w:rsidRDefault="00F72432" w:rsidP="00CC492D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Waga: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>&lt;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>0.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>7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kg (każda kaseta)</w:t>
      </w:r>
    </w:p>
    <w:p w14:paraId="3EC4F51A" w14:textId="77777777" w:rsidR="00F72432" w:rsidRPr="00F72432" w:rsidRDefault="00F72432" w:rsidP="00CC492D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Kompatybilność z żelami:</w:t>
      </w: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Odpowiednia do transferu dwóch mini-formatów żeli lub jednego midi-formatowego żelu na kasetę. Inne rozmiary żeli mogą być przycinane, aby pasowały do zestawów transferowych.</w:t>
      </w:r>
    </w:p>
    <w:p w14:paraId="24FBCCA6" w14:textId="77777777" w:rsidR="00F72432" w:rsidRPr="00F72432" w:rsidRDefault="00F72432" w:rsidP="00CC492D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Rolka do </w:t>
      </w:r>
      <w:proofErr w:type="spellStart"/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blotu</w:t>
      </w:r>
      <w:proofErr w:type="spellEnd"/>
    </w:p>
    <w:p w14:paraId="6AE6CCDA" w14:textId="16B618D5" w:rsidR="00F72432" w:rsidRPr="00F72432" w:rsidRDefault="00F72432" w:rsidP="00CC492D">
      <w:p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Zawartość </w:t>
      </w:r>
      <w:r w:rsidR="0082034A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zestawu</w:t>
      </w:r>
      <w:r w:rsidRPr="00F72432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:</w:t>
      </w:r>
    </w:p>
    <w:p w14:paraId="334DAB27" w14:textId="4595938A" w:rsidR="00F72432" w:rsidRPr="00F72432" w:rsidRDefault="00F72432" w:rsidP="00CC492D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Instrument transferu 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białek typu </w:t>
      </w:r>
      <w:proofErr w:type="spellStart"/>
      <w:r>
        <w:rPr>
          <w:rFonts w:eastAsia="Times New Roman" w:cs="Times New Roman"/>
          <w:color w:val="auto"/>
          <w:spacing w:val="0"/>
          <w:szCs w:val="20"/>
          <w:lang w:eastAsia="pl-PL"/>
        </w:rPr>
        <w:t>blotting</w:t>
      </w:r>
      <w:proofErr w:type="spellEnd"/>
    </w:p>
    <w:p w14:paraId="45ABB6A2" w14:textId="77777777" w:rsidR="00F72432" w:rsidRPr="00F72432" w:rsidRDefault="00F72432" w:rsidP="00CC492D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>2 kasety do transferu</w:t>
      </w:r>
    </w:p>
    <w:p w14:paraId="2E21FFE1" w14:textId="073BB263" w:rsidR="00C57CFA" w:rsidRPr="00CC492D" w:rsidRDefault="00F72432" w:rsidP="00CC492D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Rolka do </w:t>
      </w:r>
      <w:proofErr w:type="spellStart"/>
      <w:r w:rsidRPr="00F72432">
        <w:rPr>
          <w:rFonts w:eastAsia="Times New Roman" w:cs="Times New Roman"/>
          <w:color w:val="auto"/>
          <w:spacing w:val="0"/>
          <w:szCs w:val="20"/>
          <w:lang w:eastAsia="pl-PL"/>
        </w:rPr>
        <w:t>blotu</w:t>
      </w:r>
      <w:proofErr w:type="spellEnd"/>
    </w:p>
    <w:p w14:paraId="4B2C8BCE" w14:textId="7469AFD7" w:rsidR="00237F39" w:rsidRPr="00C57CFA" w:rsidRDefault="00237F39" w:rsidP="00CC492D">
      <w:pPr>
        <w:pStyle w:val="Akapitzlist"/>
        <w:numPr>
          <w:ilvl w:val="0"/>
          <w:numId w:val="27"/>
        </w:numPr>
        <w:spacing w:before="120" w:after="120"/>
        <w:rPr>
          <w:rFonts w:asciiTheme="majorHAnsi" w:eastAsia="Calibri" w:hAnsiTheme="majorHAnsi" w:cs="Roboto Lt"/>
          <w:color w:val="000000"/>
          <w:szCs w:val="20"/>
        </w:rPr>
      </w:pPr>
      <w:r w:rsidRPr="00C57CFA">
        <w:rPr>
          <w:rFonts w:asciiTheme="majorHAnsi" w:eastAsia="Calibri" w:hAnsiTheme="majorHAnsi" w:cs="Roboto Lt"/>
          <w:b/>
          <w:bCs/>
          <w:color w:val="000000"/>
          <w:szCs w:val="20"/>
        </w:rPr>
        <w:t xml:space="preserve">Zestawu do elektroforezy i </w:t>
      </w:r>
      <w:proofErr w:type="spellStart"/>
      <w:r w:rsidRPr="00C57CFA">
        <w:rPr>
          <w:rFonts w:asciiTheme="majorHAnsi" w:eastAsia="Calibri" w:hAnsiTheme="majorHAnsi" w:cs="Roboto Lt"/>
          <w:b/>
          <w:bCs/>
          <w:color w:val="000000"/>
          <w:szCs w:val="20"/>
        </w:rPr>
        <w:t>blottingu</w:t>
      </w:r>
      <w:proofErr w:type="spellEnd"/>
      <w:r w:rsidRPr="00C57CFA">
        <w:rPr>
          <w:rFonts w:asciiTheme="majorHAnsi" w:eastAsia="Calibri" w:hAnsiTheme="majorHAnsi" w:cs="Roboto Lt"/>
          <w:color w:val="000000"/>
          <w:szCs w:val="20"/>
        </w:rPr>
        <w:t xml:space="preserve">, obejmującego system do elektroforezy złożony z komory do elektroforezy pionowej typu Mini oraz modułu </w:t>
      </w:r>
      <w:proofErr w:type="spellStart"/>
      <w:r w:rsidRPr="00C57CFA">
        <w:rPr>
          <w:rFonts w:asciiTheme="majorHAnsi" w:eastAsia="Calibri" w:hAnsiTheme="majorHAnsi" w:cs="Roboto Lt"/>
          <w:color w:val="000000"/>
          <w:szCs w:val="20"/>
        </w:rPr>
        <w:t>blottingowego</w:t>
      </w:r>
      <w:proofErr w:type="spellEnd"/>
      <w:r w:rsidRPr="00C57CFA">
        <w:rPr>
          <w:rFonts w:asciiTheme="majorHAnsi" w:eastAsia="Calibri" w:hAnsiTheme="majorHAnsi" w:cs="Roboto Lt"/>
          <w:color w:val="000000"/>
          <w:szCs w:val="20"/>
        </w:rPr>
        <w:t xml:space="preserve"> </w:t>
      </w:r>
      <w:r w:rsidR="009268E4" w:rsidRPr="00C57CFA">
        <w:rPr>
          <w:rFonts w:asciiTheme="majorHAnsi" w:eastAsia="Calibri" w:hAnsiTheme="majorHAnsi" w:cs="Roboto Lt"/>
          <w:color w:val="000000"/>
          <w:szCs w:val="20"/>
        </w:rPr>
        <w:t xml:space="preserve">typu </w:t>
      </w:r>
      <w:r w:rsidRPr="00C57CFA">
        <w:rPr>
          <w:rFonts w:asciiTheme="majorHAnsi" w:eastAsia="Calibri" w:hAnsiTheme="majorHAnsi" w:cs="Roboto Lt"/>
          <w:color w:val="000000"/>
          <w:szCs w:val="20"/>
        </w:rPr>
        <w:t>Mini Trans-</w:t>
      </w:r>
      <w:proofErr w:type="spellStart"/>
      <w:r w:rsidRPr="00C57CFA">
        <w:rPr>
          <w:rFonts w:asciiTheme="majorHAnsi" w:eastAsia="Calibri" w:hAnsiTheme="majorHAnsi" w:cs="Roboto Lt"/>
          <w:color w:val="000000"/>
          <w:szCs w:val="20"/>
        </w:rPr>
        <w:t>Blot</w:t>
      </w:r>
      <w:proofErr w:type="spellEnd"/>
      <w:r w:rsidRPr="00C57CFA">
        <w:rPr>
          <w:rFonts w:asciiTheme="majorHAnsi" w:eastAsia="Calibri" w:hAnsiTheme="majorHAnsi" w:cs="Roboto Lt"/>
          <w:color w:val="000000"/>
          <w:szCs w:val="20"/>
        </w:rPr>
        <w:t xml:space="preserve">, wraz z akcesoriami do odlewania żeli oraz </w:t>
      </w:r>
      <w:bookmarkStart w:id="0" w:name="_Hlk175678112"/>
      <w:r w:rsidR="009268E4">
        <w:t xml:space="preserve">zestaw startowy do odlewania żeli </w:t>
      </w:r>
      <w:proofErr w:type="spellStart"/>
      <w:r w:rsidR="009268E4">
        <w:t>poliakryloamidowych</w:t>
      </w:r>
      <w:proofErr w:type="spellEnd"/>
      <w:r w:rsidR="009268E4">
        <w:t xml:space="preserve"> 10% zawierający roztwory </w:t>
      </w:r>
      <w:proofErr w:type="spellStart"/>
      <w:r w:rsidR="009268E4">
        <w:t>akryloamidu</w:t>
      </w:r>
      <w:proofErr w:type="spellEnd"/>
      <w:r w:rsidR="009268E4">
        <w:t xml:space="preserve"> i bufory wymagane do odlewu żeli.</w:t>
      </w:r>
      <w:bookmarkEnd w:id="0"/>
    </w:p>
    <w:p w14:paraId="16FEC1DB" w14:textId="77777777" w:rsidR="00237F39" w:rsidRPr="00237F39" w:rsidRDefault="00237F39" w:rsidP="00CC492D">
      <w:p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237F39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Zamówienie obejmuje dostawę zestawu do elektroforezy i </w:t>
      </w:r>
      <w:proofErr w:type="spellStart"/>
      <w:r w:rsidRPr="00237F39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blottingu</w:t>
      </w:r>
      <w:proofErr w:type="spellEnd"/>
      <w:r w:rsidRPr="00237F39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, w skład którego wchodzą następujące elementy:</w:t>
      </w:r>
    </w:p>
    <w:p w14:paraId="12FF9C13" w14:textId="24CF19F5" w:rsidR="009268E4" w:rsidRPr="00C57CFA" w:rsidRDefault="00237F39" w:rsidP="00CC492D">
      <w:pPr>
        <w:pStyle w:val="Akapitzlist"/>
        <w:numPr>
          <w:ilvl w:val="1"/>
          <w:numId w:val="27"/>
        </w:numPr>
        <w:tabs>
          <w:tab w:val="num" w:pos="720"/>
        </w:tabs>
        <w:spacing w:before="120" w:after="120" w:line="240" w:lineRule="auto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  <w:r w:rsidRPr="00C57CFA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System elektroforezy pionowej </w:t>
      </w:r>
      <w:r w:rsidR="005F1338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typu mini</w:t>
      </w:r>
    </w:p>
    <w:p w14:paraId="6CFDECDB" w14:textId="33D6A305" w:rsidR="006422B7" w:rsidRDefault="006422B7" w:rsidP="00CC492D">
      <w:pPr>
        <w:spacing w:before="120" w:after="120" w:line="240" w:lineRule="auto"/>
      </w:pPr>
      <w:r>
        <w:t xml:space="preserve">Przedmiotem zamówienia jest system do elektroforezy żelowej w układzie pionowym, umożliwiający szybkie i proste przygotowanie żeli oraz optymalizację próbek. System musi pozwalać na równoczesne prowadzenie od </w:t>
      </w:r>
      <w:r>
        <w:lastRenderedPageBreak/>
        <w:t>1 do 4 żeli, zarówno gotowych (</w:t>
      </w:r>
      <w:proofErr w:type="spellStart"/>
      <w:r>
        <w:t>precast</w:t>
      </w:r>
      <w:proofErr w:type="spellEnd"/>
      <w:r>
        <w:t>), jak i odlewanych ręcznie (</w:t>
      </w:r>
      <w:proofErr w:type="spellStart"/>
      <w:r>
        <w:t>handcast</w:t>
      </w:r>
      <w:proofErr w:type="spellEnd"/>
      <w:r>
        <w:t>). Musi być wyposażony w mechanizm uszczelniający zapobiegający błędom montażu podczas odlewania żeli.</w:t>
      </w:r>
      <w:r w:rsidR="00273DF6">
        <w:t xml:space="preserve"> Urządzenie musi być </w:t>
      </w:r>
      <w:r w:rsidR="00273DF6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kompatybilne </w:t>
      </w:r>
      <w:r w:rsidR="00273DF6" w:rsidRPr="007D22CD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z zasilaczem </w:t>
      </w:r>
      <w:proofErr w:type="spellStart"/>
      <w:r w:rsidR="00273DF6" w:rsidRPr="007D22CD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PowerPac</w:t>
      </w:r>
      <w:proofErr w:type="spellEnd"/>
      <w:r w:rsidR="00273DF6" w:rsidRPr="007D22CD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będącym na wyposażeniu grupy</w:t>
      </w:r>
      <w:r w:rsidR="00273DF6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.</w:t>
      </w:r>
    </w:p>
    <w:p w14:paraId="2A254B9F" w14:textId="01CC118B" w:rsidR="006422B7" w:rsidRDefault="006422B7" w:rsidP="00CC492D">
      <w:pPr>
        <w:spacing w:before="120" w:after="120" w:line="240" w:lineRule="auto"/>
      </w:pPr>
      <w:r>
        <w:rPr>
          <w:rStyle w:val="Pogrubienie"/>
        </w:rPr>
        <w:t>Zastosowanie dedykowane urządzenia:</w:t>
      </w:r>
      <w:r>
        <w:t xml:space="preserve"> Elektroforeza żelowa poliakrylamidowa (PAGE lub SDS-PAGE), elektroforeza 2-D,</w:t>
      </w:r>
      <w:r w:rsidR="001A3F93">
        <w:t xml:space="preserve"> </w:t>
      </w:r>
      <w:r>
        <w:t>ocena warunków przygotowania próbek.</w:t>
      </w:r>
    </w:p>
    <w:p w14:paraId="125BB4A3" w14:textId="77777777" w:rsidR="006422B7" w:rsidRPr="006422B7" w:rsidRDefault="006422B7" w:rsidP="00CC492D">
      <w:pPr>
        <w:pStyle w:val="Akapitzlist"/>
        <w:numPr>
          <w:ilvl w:val="0"/>
          <w:numId w:val="40"/>
        </w:numPr>
        <w:spacing w:before="120" w:after="120" w:line="240" w:lineRule="auto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  <w:r w:rsidRPr="006422B7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Specyfikacja techniczna:</w:t>
      </w:r>
    </w:p>
    <w:p w14:paraId="632D9B78" w14:textId="77777777" w:rsidR="006422B7" w:rsidRPr="006422B7" w:rsidRDefault="006422B7" w:rsidP="00CC492D">
      <w:pPr>
        <w:numPr>
          <w:ilvl w:val="1"/>
          <w:numId w:val="25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273DF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Liczba żeli</w:t>
      </w:r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: 1–4</w:t>
      </w:r>
    </w:p>
    <w:p w14:paraId="67B224A8" w14:textId="77777777" w:rsidR="006422B7" w:rsidRPr="006422B7" w:rsidRDefault="006422B7" w:rsidP="00CC492D">
      <w:pPr>
        <w:numPr>
          <w:ilvl w:val="1"/>
          <w:numId w:val="25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273DF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Rodzaje żeli:</w:t>
      </w:r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Żele gotowe (</w:t>
      </w:r>
      <w:proofErr w:type="spellStart"/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precast</w:t>
      </w:r>
      <w:proofErr w:type="spellEnd"/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) lub ręcznie odlewane</w:t>
      </w:r>
    </w:p>
    <w:p w14:paraId="3835279C" w14:textId="75BB182E" w:rsidR="006422B7" w:rsidRPr="006422B7" w:rsidRDefault="006422B7" w:rsidP="00CC492D">
      <w:pPr>
        <w:numPr>
          <w:ilvl w:val="1"/>
          <w:numId w:val="25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273DF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Rozmiar żeli (S</w:t>
      </w:r>
      <w:r w:rsidR="00273DF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zerokość</w:t>
      </w:r>
      <w:r w:rsidRPr="00273DF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 x D</w:t>
      </w:r>
      <w:r w:rsidR="00273DF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ługość</w:t>
      </w:r>
      <w:r w:rsidRPr="00273DF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):</w:t>
      </w:r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Gotowe: 8.6 x 6.8 cm</w:t>
      </w:r>
      <w:r w:rsidR="00836CD0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(+/-2%)</w:t>
      </w:r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; ręcznie odlewane: 8.3 x 7.3 cm</w:t>
      </w:r>
      <w:r w:rsidR="00836CD0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</w:t>
      </w:r>
      <w:proofErr w:type="spellStart"/>
      <w:r w:rsidR="00836CD0"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cm</w:t>
      </w:r>
      <w:proofErr w:type="spellEnd"/>
      <w:r w:rsidR="00836CD0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(+/-2%)</w:t>
      </w:r>
    </w:p>
    <w:p w14:paraId="6A3D58B2" w14:textId="77777777" w:rsidR="006422B7" w:rsidRPr="00273DF6" w:rsidRDefault="006422B7" w:rsidP="00CC492D">
      <w:pPr>
        <w:numPr>
          <w:ilvl w:val="1"/>
          <w:numId w:val="25"/>
        </w:numPr>
        <w:spacing w:before="120" w:after="120" w:line="240" w:lineRule="auto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  <w:r w:rsidRPr="00273DF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Wymiary płytek szklanych:</w:t>
      </w:r>
    </w:p>
    <w:p w14:paraId="4E809A60" w14:textId="77777777" w:rsidR="006422B7" w:rsidRPr="006422B7" w:rsidRDefault="006422B7" w:rsidP="00CC492D">
      <w:pPr>
        <w:spacing w:before="120" w:after="120" w:line="240" w:lineRule="auto"/>
        <w:ind w:left="1440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Płytki krótkie: 10.1 x 7.3 cm</w:t>
      </w:r>
    </w:p>
    <w:p w14:paraId="36AF3C6D" w14:textId="3F63721C" w:rsidR="006422B7" w:rsidRPr="006422B7" w:rsidRDefault="006422B7" w:rsidP="00CC492D">
      <w:pPr>
        <w:spacing w:before="120" w:after="120" w:line="240" w:lineRule="auto"/>
        <w:ind w:left="1440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Płytki </w:t>
      </w:r>
      <w:proofErr w:type="spellStart"/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odstępowe</w:t>
      </w:r>
      <w:proofErr w:type="spellEnd"/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(dystansujące)</w:t>
      </w:r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: 10.1 x 8.2 cm</w:t>
      </w:r>
    </w:p>
    <w:p w14:paraId="7BADFC7B" w14:textId="77777777" w:rsidR="006422B7" w:rsidRPr="006422B7" w:rsidRDefault="006422B7" w:rsidP="00CC492D">
      <w:pPr>
        <w:numPr>
          <w:ilvl w:val="1"/>
          <w:numId w:val="25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273DF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Objętość buforu dla 2 żeli:</w:t>
      </w:r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700 ml</w:t>
      </w:r>
    </w:p>
    <w:p w14:paraId="5CBC078C" w14:textId="77777777" w:rsidR="006422B7" w:rsidRPr="006422B7" w:rsidRDefault="006422B7" w:rsidP="00CC492D">
      <w:pPr>
        <w:numPr>
          <w:ilvl w:val="1"/>
          <w:numId w:val="25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273DF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Objętość buforu dla 4 żeli:</w:t>
      </w:r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1 000 ml</w:t>
      </w:r>
    </w:p>
    <w:p w14:paraId="347A7248" w14:textId="77777777" w:rsidR="006422B7" w:rsidRPr="006422B7" w:rsidRDefault="006422B7" w:rsidP="00CC492D">
      <w:pPr>
        <w:numPr>
          <w:ilvl w:val="1"/>
          <w:numId w:val="25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273DF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Typowe czasy trwania biegu dla SDS-PAGE</w:t>
      </w:r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: 35–45 min (przy 200 V stałych)</w:t>
      </w:r>
    </w:p>
    <w:p w14:paraId="587F07A0" w14:textId="481480D6" w:rsidR="006422B7" w:rsidRPr="006422B7" w:rsidRDefault="00672771" w:rsidP="00CC492D">
      <w:pPr>
        <w:numPr>
          <w:ilvl w:val="1"/>
          <w:numId w:val="25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Ź</w:t>
      </w:r>
      <w:r w:rsidR="00273DF6" w:rsidRPr="00273DF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ródło zasilania</w:t>
      </w:r>
      <w:r w:rsidR="006422B7" w:rsidRPr="00273DF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:</w:t>
      </w:r>
      <w:r w:rsidR="006422B7"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</w:t>
      </w:r>
      <w:r w:rsid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zasilacz </w:t>
      </w:r>
      <w:proofErr w:type="spellStart"/>
      <w:r w:rsidR="006422B7"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PowerPac</w:t>
      </w:r>
      <w:proofErr w:type="spellEnd"/>
      <w:r w:rsidR="006422B7"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Basic</w:t>
      </w:r>
      <w:r w:rsid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lub równoważny</w:t>
      </w:r>
      <w:r w:rsidR="00CC51E3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– musi oferować regulowany zakres napięcia wyjściowego od 10 do 300 V (regulowany co 1 V) i dostarczać prąd w o natężeniu od 4 do 400 </w:t>
      </w:r>
      <w:proofErr w:type="spellStart"/>
      <w:r w:rsidR="00CC51E3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mA</w:t>
      </w:r>
      <w:proofErr w:type="spellEnd"/>
      <w:r w:rsidR="00CC51E3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(regulowane co 1 </w:t>
      </w:r>
      <w:proofErr w:type="spellStart"/>
      <w:r w:rsidR="00CC51E3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mA</w:t>
      </w:r>
      <w:proofErr w:type="spellEnd"/>
      <w:r w:rsidR="00CC51E3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). Zasilacz musi oferować moc wyjściową na poziomie 75 W. </w:t>
      </w:r>
      <w:r w:rsidR="00621110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Musi posiadać min. 4 pary </w:t>
      </w:r>
      <w:r w:rsidR="00621110" w:rsidRPr="00621110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zagłębionych gniazd bananowych w układzie równoległy</w:t>
      </w:r>
      <w:r w:rsidR="00621110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m. </w:t>
      </w:r>
      <w:r w:rsidR="00CC51E3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Musi posiadać </w:t>
      </w:r>
      <w:r w:rsidR="00CC51E3" w:rsidRPr="00CC51E3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odpowiednie zabezpieczenia, takie jak ochrona przed przeciążeniem, przegrzaniem oraz zwarciem, które zapewnią bezpieczne użytkowanie w warunkach laboratoryjnych.</w:t>
      </w:r>
      <w:r w:rsidR="00CC51E3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</w:t>
      </w:r>
      <w:r w:rsidR="00621110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Musi posiadać wyświetlacz LCD. </w:t>
      </w:r>
    </w:p>
    <w:p w14:paraId="1C546C4E" w14:textId="36C0A713" w:rsidR="006422B7" w:rsidRPr="006422B7" w:rsidRDefault="006422B7" w:rsidP="00CC492D">
      <w:pPr>
        <w:numPr>
          <w:ilvl w:val="1"/>
          <w:numId w:val="25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273DF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Wymiary (</w:t>
      </w:r>
      <w:proofErr w:type="spellStart"/>
      <w:r w:rsidRPr="00273DF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Szerkość</w:t>
      </w:r>
      <w:proofErr w:type="spellEnd"/>
      <w:r w:rsidRPr="00273DF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 x Długość x Wysokość):</w:t>
      </w:r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12 x 16 x 18 cm</w:t>
      </w:r>
      <w:r w:rsidR="001A3F93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</w:t>
      </w:r>
      <w:r w:rsidR="001A3F93" w:rsidRPr="001A3F93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(+/- 2%)</w:t>
      </w:r>
    </w:p>
    <w:p w14:paraId="386E1859" w14:textId="77777777" w:rsidR="006422B7" w:rsidRPr="006422B7" w:rsidRDefault="006422B7" w:rsidP="00CC492D">
      <w:pPr>
        <w:numPr>
          <w:ilvl w:val="1"/>
          <w:numId w:val="25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273DF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Format żelu:</w:t>
      </w:r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Mini</w:t>
      </w:r>
    </w:p>
    <w:p w14:paraId="72A8D297" w14:textId="5F4E6CE6" w:rsidR="006422B7" w:rsidRPr="006422B7" w:rsidRDefault="006422B7" w:rsidP="00CC492D">
      <w:pPr>
        <w:pStyle w:val="Akapitzlist"/>
        <w:numPr>
          <w:ilvl w:val="0"/>
          <w:numId w:val="25"/>
        </w:numPr>
        <w:spacing w:before="120" w:after="120" w:line="240" w:lineRule="auto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  <w:r w:rsidRPr="006422B7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Wyposażenie standardowe dostarczanego zestawu:</w:t>
      </w:r>
    </w:p>
    <w:p w14:paraId="51A3D6E7" w14:textId="70E9C125" w:rsidR="006422B7" w:rsidRPr="006422B7" w:rsidRDefault="006422B7" w:rsidP="00CC492D">
      <w:pPr>
        <w:numPr>
          <w:ilvl w:val="1"/>
          <w:numId w:val="25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Pojemnik na bufor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(komora): 1 szt.</w:t>
      </w:r>
    </w:p>
    <w:p w14:paraId="15783310" w14:textId="7D2EC924" w:rsidR="006422B7" w:rsidRPr="006422B7" w:rsidRDefault="006422B7" w:rsidP="00CC492D">
      <w:pPr>
        <w:numPr>
          <w:ilvl w:val="1"/>
          <w:numId w:val="25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Pokrywa z kablami zasilającymi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: 1 szt.</w:t>
      </w:r>
    </w:p>
    <w:p w14:paraId="3F4BA9CE" w14:textId="77777777" w:rsidR="006422B7" w:rsidRPr="006422B7" w:rsidRDefault="006422B7" w:rsidP="00CC492D">
      <w:pPr>
        <w:numPr>
          <w:ilvl w:val="1"/>
          <w:numId w:val="25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Zespół elektrod</w:t>
      </w:r>
    </w:p>
    <w:p w14:paraId="54BE1821" w14:textId="77777777" w:rsidR="006422B7" w:rsidRPr="006422B7" w:rsidRDefault="006422B7" w:rsidP="00CC492D">
      <w:pPr>
        <w:numPr>
          <w:ilvl w:val="1"/>
          <w:numId w:val="25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Uszczelka na bufor</w:t>
      </w:r>
    </w:p>
    <w:p w14:paraId="1BB09118" w14:textId="77777777" w:rsidR="006422B7" w:rsidRPr="006422B7" w:rsidRDefault="006422B7" w:rsidP="00CC492D">
      <w:pPr>
        <w:numPr>
          <w:ilvl w:val="1"/>
          <w:numId w:val="25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2 stojaki do odlewania</w:t>
      </w:r>
    </w:p>
    <w:p w14:paraId="5FBAF6CC" w14:textId="77777777" w:rsidR="006422B7" w:rsidRPr="006422B7" w:rsidRDefault="006422B7" w:rsidP="00CC492D">
      <w:pPr>
        <w:numPr>
          <w:ilvl w:val="1"/>
          <w:numId w:val="25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4 ramki do odlewania</w:t>
      </w:r>
    </w:p>
    <w:p w14:paraId="229AC8FA" w14:textId="77777777" w:rsidR="006422B7" w:rsidRPr="006422B7" w:rsidRDefault="006422B7" w:rsidP="00CC492D">
      <w:pPr>
        <w:numPr>
          <w:ilvl w:val="1"/>
          <w:numId w:val="25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5 zestawów płytek szklanych (krótkie i </w:t>
      </w:r>
      <w:proofErr w:type="spellStart"/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odstępowe</w:t>
      </w:r>
      <w:proofErr w:type="spellEnd"/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) do żeli o grubości 1.0 mm</w:t>
      </w:r>
    </w:p>
    <w:p w14:paraId="271CE2A2" w14:textId="77777777" w:rsidR="006422B7" w:rsidRPr="006422B7" w:rsidRDefault="006422B7" w:rsidP="00CC492D">
      <w:pPr>
        <w:numPr>
          <w:ilvl w:val="1"/>
          <w:numId w:val="25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lastRenderedPageBreak/>
        <w:t>5 grzebieni do żeli (10-komorowych)</w:t>
      </w:r>
    </w:p>
    <w:p w14:paraId="73BD6251" w14:textId="77777777" w:rsidR="006422B7" w:rsidRDefault="006422B7" w:rsidP="00CC492D">
      <w:pPr>
        <w:numPr>
          <w:ilvl w:val="1"/>
          <w:numId w:val="25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5 narzędzi do uwalniania żeli</w:t>
      </w:r>
    </w:p>
    <w:p w14:paraId="673D5DA1" w14:textId="4371ABDF" w:rsidR="009268E4" w:rsidRDefault="009268E4" w:rsidP="00CC492D">
      <w:pPr>
        <w:numPr>
          <w:ilvl w:val="1"/>
          <w:numId w:val="25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9268E4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Zestaw startowy do odlewania żeli </w:t>
      </w:r>
      <w:proofErr w:type="spellStart"/>
      <w:r w:rsidRPr="009268E4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poliakryloamidowych</w:t>
      </w:r>
      <w:proofErr w:type="spellEnd"/>
      <w:r w:rsidRPr="009268E4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10% zawierający roztwory </w:t>
      </w:r>
      <w:proofErr w:type="spellStart"/>
      <w:r w:rsidRPr="009268E4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akryloamidu</w:t>
      </w:r>
      <w:proofErr w:type="spellEnd"/>
      <w:r w:rsidRPr="009268E4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i bufory wymagane do odlewu żeli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. W </w:t>
      </w:r>
      <w:proofErr w:type="spellStart"/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skłąd</w:t>
      </w:r>
      <w:proofErr w:type="spellEnd"/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zestawu startowego muszą wchodzić</w:t>
      </w:r>
      <w:r w:rsidRPr="009268E4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wstępnie wymieszane roztwory TGX (</w:t>
      </w:r>
      <w:proofErr w:type="spellStart"/>
      <w:r w:rsidRPr="009268E4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Tris</w:t>
      </w:r>
      <w:proofErr w:type="spellEnd"/>
      <w:r w:rsidRPr="009268E4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-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Glicyny</w:t>
      </w:r>
      <w:r w:rsidRPr="009268E4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) </w:t>
      </w:r>
      <w:proofErr w:type="spellStart"/>
      <w:r w:rsidRPr="009268E4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akrylamidu</w:t>
      </w:r>
      <w:proofErr w:type="spellEnd"/>
      <w:r w:rsidRPr="009268E4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/bis-</w:t>
      </w:r>
      <w:proofErr w:type="spellStart"/>
      <w:r w:rsidRPr="009268E4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akrylamidu</w:t>
      </w:r>
      <w:proofErr w:type="spellEnd"/>
      <w:r w:rsidRPr="009268E4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do ręcznego odlewania żeli poliakrylamidowych o stężeniu 10% do systemów PAGE.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Odlewane </w:t>
      </w:r>
      <w:r w:rsidRPr="009268E4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żele 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muszą </w:t>
      </w:r>
      <w:r w:rsidRPr="009268E4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pozosta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ć</w:t>
      </w:r>
      <w:r w:rsidRPr="009268E4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świeże przez okres do 4 tygodni. Technologia bezbarwna 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musi </w:t>
      </w:r>
      <w:r w:rsidRPr="009268E4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umożliwia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ć</w:t>
      </w:r>
      <w:r w:rsidRPr="009268E4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wizualizację białek w żelu lub na blacie w mniej niż 5 minut przy użyciu systemów obrazowania z technologią bezbarwną.</w:t>
      </w:r>
    </w:p>
    <w:p w14:paraId="7ADB59F5" w14:textId="77777777" w:rsidR="006422B7" w:rsidRPr="009268E4" w:rsidRDefault="006422B7" w:rsidP="00CC492D">
      <w:pPr>
        <w:spacing w:before="120" w:after="120" w:line="240" w:lineRule="auto"/>
        <w:ind w:left="1440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</w:p>
    <w:p w14:paraId="65FBF701" w14:textId="3B354D21" w:rsidR="00237F39" w:rsidRPr="00C57CFA" w:rsidRDefault="00237F39" w:rsidP="00CC492D">
      <w:pPr>
        <w:pStyle w:val="Akapitzlist"/>
        <w:numPr>
          <w:ilvl w:val="1"/>
          <w:numId w:val="27"/>
        </w:numPr>
        <w:spacing w:before="120" w:after="120" w:line="240" w:lineRule="auto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  <w:r w:rsidRPr="00C57CFA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Moduł </w:t>
      </w:r>
      <w:proofErr w:type="spellStart"/>
      <w:r w:rsidRPr="00C57CFA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blottingowy</w:t>
      </w:r>
      <w:proofErr w:type="spellEnd"/>
      <w:r w:rsidRPr="00C57CFA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 </w:t>
      </w:r>
      <w:r w:rsidR="007D22CD" w:rsidRPr="00C57CFA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typu </w:t>
      </w:r>
      <w:r w:rsidRPr="00C57CFA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Mini Trans-</w:t>
      </w:r>
      <w:proofErr w:type="spellStart"/>
      <w:r w:rsidRPr="00C57CFA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Blot</w:t>
      </w:r>
      <w:proofErr w:type="spellEnd"/>
      <w:r w:rsidRPr="00C57CFA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 </w:t>
      </w:r>
    </w:p>
    <w:p w14:paraId="5772E0E2" w14:textId="437E37E2" w:rsidR="005F1338" w:rsidRDefault="005F1338" w:rsidP="00CC492D">
      <w:p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Przedmiotem zamówienia jest moduł </w:t>
      </w:r>
      <w:proofErr w:type="spellStart"/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blottingowy</w:t>
      </w:r>
      <w:proofErr w:type="spellEnd"/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typu </w:t>
      </w: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Mini Trans-</w:t>
      </w:r>
      <w:proofErr w:type="spellStart"/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Blot</w:t>
      </w:r>
      <w:proofErr w:type="spellEnd"/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, który musi być </w:t>
      </w: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komponentem systemu elektroforezy 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typu </w:t>
      </w: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Mini, przeznaczonym do szybkiego i wysokiej jakości transferu białek z żeli mini na membrany. Komora 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musi </w:t>
      </w: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umożliwia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ć</w:t>
      </w: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jednoczesny transfer dwóch żeli o formacie mini. Urządzenie 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musi być dedykowane</w:t>
      </w: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do aplikacji takich jak 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Western </w:t>
      </w:r>
      <w:proofErr w:type="spellStart"/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Blot</w:t>
      </w:r>
      <w:proofErr w:type="spellEnd"/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i transfery kwasów nukleinowych.</w:t>
      </w:r>
    </w:p>
    <w:p w14:paraId="0E3FE17E" w14:textId="236E72B1" w:rsidR="00237F39" w:rsidRDefault="005F1338" w:rsidP="00CC492D">
      <w:p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Musi umożliwiać </w:t>
      </w:r>
      <w:r w:rsidR="00237F39" w:rsidRPr="00237F39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przenoszeni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e</w:t>
      </w:r>
      <w:r w:rsidR="00237F39" w:rsidRPr="00237F39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białek z żeli na membrany w systemie elektroforezy pionowej</w:t>
      </w:r>
      <w:r w:rsidR="007D22CD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typu</w:t>
      </w:r>
      <w:r w:rsidR="00237F39" w:rsidRPr="00237F39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Mini </w:t>
      </w:r>
      <w:r w:rsidR="007D22CD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uzyskiwanych z użyciem </w:t>
      </w:r>
      <w:r w:rsidR="007D22CD" w:rsidRPr="007D22CD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s</w:t>
      </w:r>
      <w:r w:rsidR="007D22CD" w:rsidRPr="00237F39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ystem</w:t>
      </w: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u</w:t>
      </w:r>
      <w:r w:rsidR="007D22CD" w:rsidRPr="00237F39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</w:t>
      </w:r>
      <w:r w:rsidR="007D22CD" w:rsidRPr="007D22CD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do </w:t>
      </w:r>
      <w:r w:rsidR="007D22CD" w:rsidRPr="00237F39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elektroforezy pionowej </w:t>
      </w:r>
      <w:r w:rsidR="007D22CD" w:rsidRPr="007D22CD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typu </w:t>
      </w:r>
      <w:r w:rsidR="007D22CD" w:rsidRPr="00237F39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Mini</w:t>
      </w:r>
      <w:r w:rsidR="007D22CD" w:rsidRPr="007D22CD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otrzymywanym w aparacie z punktu 2.1.</w:t>
      </w:r>
      <w:r w:rsidR="007D22CD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i być kompatybilny </w:t>
      </w:r>
      <w:r w:rsidR="007D22CD" w:rsidRPr="007D22CD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z zasilaczem </w:t>
      </w:r>
      <w:proofErr w:type="spellStart"/>
      <w:r w:rsidR="007D22CD" w:rsidRPr="007D22CD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PowerPac</w:t>
      </w:r>
      <w:proofErr w:type="spellEnd"/>
      <w:r w:rsidR="007D22CD" w:rsidRPr="007D22CD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będącym na wyposażeniu grupy</w:t>
      </w:r>
      <w:r w:rsidR="00273DF6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.</w:t>
      </w:r>
    </w:p>
    <w:p w14:paraId="5D005833" w14:textId="77777777" w:rsidR="005F1338" w:rsidRPr="005F1338" w:rsidRDefault="005F1338" w:rsidP="00CC492D">
      <w:pPr>
        <w:numPr>
          <w:ilvl w:val="0"/>
          <w:numId w:val="41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5F1338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Specyfikacja techniczna:</w:t>
      </w:r>
    </w:p>
    <w:p w14:paraId="714486D9" w14:textId="0886DCEF" w:rsidR="005F1338" w:rsidRPr="005F1338" w:rsidRDefault="005F1338" w:rsidP="00CC492D">
      <w:pPr>
        <w:numPr>
          <w:ilvl w:val="1"/>
          <w:numId w:val="41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5F1338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Maksymalne wymiary żelu (szer. x dł.), cm:</w:t>
      </w: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10 x 7,5</w:t>
      </w:r>
      <w:r w:rsidR="00836CD0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(</w:t>
      </w:r>
      <w:r w:rsidR="00836CD0" w:rsidRPr="006422B7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cm</w:t>
      </w:r>
      <w:r w:rsidR="00836CD0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(+/-2%)</w:t>
      </w:r>
    </w:p>
    <w:p w14:paraId="6CF6295E" w14:textId="77777777" w:rsidR="005F1338" w:rsidRPr="005F1338" w:rsidRDefault="005F1338" w:rsidP="00CC492D">
      <w:pPr>
        <w:numPr>
          <w:ilvl w:val="1"/>
          <w:numId w:val="41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5F1338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Wymaganie dotyczące objętości buforu, ml:</w:t>
      </w: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450</w:t>
      </w:r>
    </w:p>
    <w:p w14:paraId="3A9DE2C6" w14:textId="54EB7771" w:rsidR="005F1338" w:rsidRPr="005F1338" w:rsidRDefault="005F1338" w:rsidP="00CC492D">
      <w:pPr>
        <w:numPr>
          <w:ilvl w:val="1"/>
          <w:numId w:val="41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5F1338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Pojemność żeli:</w:t>
      </w: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2 żele</w:t>
      </w:r>
      <w:r w:rsidR="00836CD0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prefabrykowane typu</w:t>
      </w: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Mini</w:t>
      </w:r>
      <w:r w:rsidR="00836CD0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</w:t>
      </w: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PROTEAN lub ręcznie odlewane, lub 2 żele</w:t>
      </w:r>
      <w:r w:rsidR="00836CD0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prefabrykowane typu</w:t>
      </w: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</w:t>
      </w:r>
      <w:proofErr w:type="spellStart"/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Ready</w:t>
      </w:r>
      <w:proofErr w:type="spellEnd"/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</w:t>
      </w:r>
      <w:proofErr w:type="spellStart"/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Gel</w:t>
      </w:r>
      <w:proofErr w:type="spellEnd"/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</w:t>
      </w:r>
      <w:r w:rsidR="00836CD0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(lub równoważne)</w:t>
      </w:r>
    </w:p>
    <w:p w14:paraId="5611A7DC" w14:textId="5BD8C0DF" w:rsidR="005F1338" w:rsidRPr="005F1338" w:rsidRDefault="005F1338" w:rsidP="00CC492D">
      <w:pPr>
        <w:numPr>
          <w:ilvl w:val="1"/>
          <w:numId w:val="41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5F1338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Rekomendowane źródło zasilania:</w:t>
      </w: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</w:t>
      </w:r>
      <w:r w:rsidR="00273DF6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zasilacz </w:t>
      </w:r>
      <w:proofErr w:type="spellStart"/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PowerPac</w:t>
      </w:r>
      <w:proofErr w:type="spellEnd"/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</w:t>
      </w:r>
    </w:p>
    <w:p w14:paraId="7E618C44" w14:textId="728F5778" w:rsidR="005F1338" w:rsidRPr="005F1338" w:rsidRDefault="005F1338" w:rsidP="00CC492D">
      <w:pPr>
        <w:numPr>
          <w:ilvl w:val="1"/>
          <w:numId w:val="41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5F1338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Wymiary (szer. x dł. x wys.), cm:</w:t>
      </w: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12 x 16 x 18</w:t>
      </w:r>
      <w:r w:rsidR="001A3F93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</w:t>
      </w:r>
      <w:r w:rsidR="001A3F93" w:rsidRPr="001A3F93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(+/- 2%)</w:t>
      </w:r>
    </w:p>
    <w:p w14:paraId="1AFDBD54" w14:textId="77777777" w:rsidR="005F1338" w:rsidRPr="005F1338" w:rsidRDefault="005F1338" w:rsidP="00CC492D">
      <w:pPr>
        <w:numPr>
          <w:ilvl w:val="1"/>
          <w:numId w:val="41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Możliwość transferu dwóch żeli o wymiarach 10 x 7,5 cm w ciągu 1 godziny; możliwość transferów </w:t>
      </w:r>
      <w:proofErr w:type="spellStart"/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niskointensywnych</w:t>
      </w:r>
      <w:proofErr w:type="spellEnd"/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przez noc.</w:t>
      </w:r>
    </w:p>
    <w:p w14:paraId="13550E0B" w14:textId="77777777" w:rsidR="005F1338" w:rsidRPr="005F1338" w:rsidRDefault="005F1338" w:rsidP="00CC492D">
      <w:pPr>
        <w:numPr>
          <w:ilvl w:val="1"/>
          <w:numId w:val="41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Przewody elektryczne umieszczone w odległości 4 cm zapewniają silne pole elektryczne i efektywny transfer białek.</w:t>
      </w:r>
    </w:p>
    <w:p w14:paraId="41087D42" w14:textId="77777777" w:rsidR="005F1338" w:rsidRPr="005F1338" w:rsidRDefault="005F1338" w:rsidP="00CC492D">
      <w:pPr>
        <w:numPr>
          <w:ilvl w:val="1"/>
          <w:numId w:val="41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Kolorowe kasety i elektrody ułatwiają prawidłowe umiejscowienie żelu podczas transferu.</w:t>
      </w:r>
    </w:p>
    <w:p w14:paraId="7DBA2ED4" w14:textId="77777777" w:rsidR="005F1338" w:rsidRPr="005F1338" w:rsidRDefault="005F1338" w:rsidP="00CC492D">
      <w:pPr>
        <w:numPr>
          <w:ilvl w:val="1"/>
          <w:numId w:val="41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Wbudowany niebieski moduł chłodzący, który absorbuje ciepło generowane podczas szybkich transferów.</w:t>
      </w:r>
    </w:p>
    <w:p w14:paraId="13687C08" w14:textId="77777777" w:rsidR="00273DF6" w:rsidRPr="00273DF6" w:rsidRDefault="00273DF6" w:rsidP="00CC492D">
      <w:pPr>
        <w:pStyle w:val="Akapitzlist"/>
        <w:numPr>
          <w:ilvl w:val="0"/>
          <w:numId w:val="41"/>
        </w:numPr>
        <w:spacing w:after="0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  <w:r w:rsidRPr="00273DF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Wyposażenie standardowe dostarczanego zestawu:</w:t>
      </w:r>
    </w:p>
    <w:p w14:paraId="644EAB3F" w14:textId="77777777" w:rsidR="005F1338" w:rsidRPr="005F1338" w:rsidRDefault="005F1338" w:rsidP="00CC492D">
      <w:pPr>
        <w:numPr>
          <w:ilvl w:val="1"/>
          <w:numId w:val="41"/>
        </w:numPr>
        <w:spacing w:before="120" w:after="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2 kasety do trzymania żeli</w:t>
      </w:r>
    </w:p>
    <w:p w14:paraId="390C84B3" w14:textId="77777777" w:rsidR="005F1338" w:rsidRPr="005F1338" w:rsidRDefault="005F1338" w:rsidP="00CC492D">
      <w:pPr>
        <w:numPr>
          <w:ilvl w:val="1"/>
          <w:numId w:val="41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lastRenderedPageBreak/>
        <w:t>Podkładki piankowe</w:t>
      </w:r>
    </w:p>
    <w:p w14:paraId="304BA7B0" w14:textId="77777777" w:rsidR="005F1338" w:rsidRPr="005F1338" w:rsidRDefault="005F1338" w:rsidP="00CC492D">
      <w:pPr>
        <w:numPr>
          <w:ilvl w:val="1"/>
          <w:numId w:val="41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Zespół elektrod</w:t>
      </w:r>
    </w:p>
    <w:p w14:paraId="03809126" w14:textId="02915312" w:rsidR="005F1338" w:rsidRPr="00237F39" w:rsidRDefault="005F1338" w:rsidP="00CC492D">
      <w:pPr>
        <w:numPr>
          <w:ilvl w:val="1"/>
          <w:numId w:val="41"/>
        </w:num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5F1338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Moduł chłodzący</w:t>
      </w:r>
    </w:p>
    <w:p w14:paraId="055C9386" w14:textId="70341229" w:rsidR="00C57CFA" w:rsidRPr="00273DF6" w:rsidRDefault="00C57CFA" w:rsidP="00CC492D">
      <w:pPr>
        <w:pStyle w:val="NormalnyWeb"/>
        <w:numPr>
          <w:ilvl w:val="0"/>
          <w:numId w:val="27"/>
        </w:numPr>
        <w:jc w:val="both"/>
        <w:rPr>
          <w:rFonts w:asciiTheme="minorHAnsi" w:hAnsiTheme="minorHAnsi"/>
          <w:b/>
          <w:bCs/>
          <w:sz w:val="20"/>
          <w:szCs w:val="20"/>
        </w:rPr>
      </w:pPr>
      <w:bookmarkStart w:id="1" w:name="_Hlk175680330"/>
      <w:r w:rsidRPr="00273DF6">
        <w:rPr>
          <w:rFonts w:asciiTheme="minorHAnsi" w:hAnsiTheme="minorHAnsi"/>
          <w:b/>
          <w:bCs/>
          <w:sz w:val="20"/>
          <w:szCs w:val="20"/>
        </w:rPr>
        <w:t xml:space="preserve">Systemy do elektroforezy poziomej </w:t>
      </w:r>
    </w:p>
    <w:bookmarkEnd w:id="1"/>
    <w:p w14:paraId="0BFF2471" w14:textId="31CEF040" w:rsidR="00C57CFA" w:rsidRPr="00C57CFA" w:rsidRDefault="00C57CFA" w:rsidP="00CC492D">
      <w:pPr>
        <w:pStyle w:val="NormalnyWeb"/>
        <w:jc w:val="both"/>
        <w:rPr>
          <w:rFonts w:asciiTheme="minorHAnsi" w:hAnsiTheme="minorHAnsi"/>
          <w:sz w:val="20"/>
          <w:szCs w:val="20"/>
        </w:rPr>
      </w:pPr>
      <w:r w:rsidRPr="00C57CFA">
        <w:rPr>
          <w:rStyle w:val="Pogrubienie"/>
          <w:rFonts w:asciiTheme="minorHAnsi" w:hAnsiTheme="minorHAnsi"/>
          <w:sz w:val="20"/>
          <w:szCs w:val="20"/>
        </w:rPr>
        <w:t>Ogólna charakterystyka:</w:t>
      </w:r>
      <w:r w:rsidRPr="00C57CFA">
        <w:rPr>
          <w:rFonts w:asciiTheme="minorHAnsi" w:hAnsiTheme="minorHAnsi"/>
          <w:sz w:val="20"/>
          <w:szCs w:val="20"/>
        </w:rPr>
        <w:t xml:space="preserve"> System</w:t>
      </w:r>
      <w:r>
        <w:rPr>
          <w:rFonts w:asciiTheme="minorHAnsi" w:hAnsiTheme="minorHAnsi"/>
          <w:sz w:val="20"/>
          <w:szCs w:val="20"/>
        </w:rPr>
        <w:t>y</w:t>
      </w:r>
      <w:r w:rsidRPr="00C57CFA">
        <w:rPr>
          <w:rFonts w:asciiTheme="minorHAnsi" w:hAnsiTheme="minorHAnsi"/>
          <w:sz w:val="20"/>
          <w:szCs w:val="20"/>
        </w:rPr>
        <w:t xml:space="preserve"> elektroforezy poziomej przeznaczony jest do elektroforezy DNA w żelach </w:t>
      </w:r>
      <w:proofErr w:type="spellStart"/>
      <w:r w:rsidRPr="00C57CFA">
        <w:rPr>
          <w:rFonts w:asciiTheme="minorHAnsi" w:hAnsiTheme="minorHAnsi"/>
          <w:sz w:val="20"/>
          <w:szCs w:val="20"/>
        </w:rPr>
        <w:t>agarozowych</w:t>
      </w:r>
      <w:proofErr w:type="spellEnd"/>
      <w:r w:rsidRPr="00C57CFA">
        <w:rPr>
          <w:rFonts w:asciiTheme="minorHAnsi" w:hAnsiTheme="minorHAnsi"/>
          <w:sz w:val="20"/>
          <w:szCs w:val="20"/>
        </w:rPr>
        <w:t>. Umożliwia</w:t>
      </w:r>
      <w:r>
        <w:rPr>
          <w:rFonts w:asciiTheme="minorHAnsi" w:hAnsiTheme="minorHAnsi"/>
          <w:sz w:val="20"/>
          <w:szCs w:val="20"/>
        </w:rPr>
        <w:t>ć muszą</w:t>
      </w:r>
      <w:r w:rsidR="00A5628B">
        <w:rPr>
          <w:rFonts w:asciiTheme="minorHAnsi" w:hAnsiTheme="minorHAnsi"/>
          <w:sz w:val="20"/>
          <w:szCs w:val="20"/>
        </w:rPr>
        <w:t xml:space="preserve"> </w:t>
      </w:r>
      <w:r w:rsidRPr="00C57CFA">
        <w:rPr>
          <w:rFonts w:asciiTheme="minorHAnsi" w:hAnsiTheme="minorHAnsi"/>
          <w:sz w:val="20"/>
          <w:szCs w:val="20"/>
        </w:rPr>
        <w:t>przeprowadzenie elektroforezy w układzie poziomym.</w:t>
      </w:r>
      <w:r>
        <w:rPr>
          <w:rFonts w:asciiTheme="minorHAnsi" w:hAnsiTheme="minorHAnsi"/>
          <w:sz w:val="20"/>
          <w:szCs w:val="20"/>
        </w:rPr>
        <w:t xml:space="preserve"> </w:t>
      </w:r>
      <w:r w:rsidRPr="00A5628B">
        <w:rPr>
          <w:rFonts w:asciiTheme="minorHAnsi" w:hAnsiTheme="minorHAnsi"/>
          <w:b/>
          <w:bCs/>
          <w:sz w:val="20"/>
          <w:szCs w:val="20"/>
        </w:rPr>
        <w:t xml:space="preserve">Wszystkie systemu muszą być kompatybilne z posiadanym na wyposażeniu grupy zasilaczem </w:t>
      </w:r>
      <w:proofErr w:type="spellStart"/>
      <w:r w:rsidRPr="00C57CFA">
        <w:rPr>
          <w:rFonts w:asciiTheme="minorHAnsi" w:hAnsiTheme="minorHAnsi"/>
          <w:b/>
          <w:bCs/>
          <w:sz w:val="20"/>
          <w:szCs w:val="20"/>
        </w:rPr>
        <w:t>PowerPac</w:t>
      </w:r>
      <w:proofErr w:type="spellEnd"/>
      <w:r w:rsidRPr="00A5628B">
        <w:rPr>
          <w:rFonts w:asciiTheme="minorHAnsi" w:hAnsiTheme="minorHAnsi"/>
          <w:b/>
          <w:bCs/>
          <w:sz w:val="20"/>
          <w:szCs w:val="20"/>
        </w:rPr>
        <w:t>.</w:t>
      </w:r>
    </w:p>
    <w:p w14:paraId="45D2CD88" w14:textId="158BB0B6" w:rsidR="00C57CFA" w:rsidRDefault="00C57CFA" w:rsidP="00CC492D">
      <w:pPr>
        <w:pStyle w:val="Akapitzlist"/>
        <w:numPr>
          <w:ilvl w:val="1"/>
          <w:numId w:val="27"/>
        </w:numPr>
        <w:rPr>
          <w:rStyle w:val="Pogrubienie"/>
          <w:szCs w:val="20"/>
        </w:rPr>
      </w:pPr>
      <w:r w:rsidRPr="00C57CFA">
        <w:rPr>
          <w:rStyle w:val="Pogrubienie"/>
          <w:szCs w:val="20"/>
        </w:rPr>
        <w:t>System do elektroforezy poziome</w:t>
      </w:r>
      <w:r>
        <w:rPr>
          <w:rStyle w:val="Pogrubienie"/>
          <w:szCs w:val="20"/>
        </w:rPr>
        <w:t xml:space="preserve">j umożliwiający analizę 4 żeli jednocześnie </w:t>
      </w:r>
    </w:p>
    <w:p w14:paraId="57218BFF" w14:textId="22D0B3B0" w:rsidR="00A5628B" w:rsidRPr="00A5628B" w:rsidRDefault="00A5628B" w:rsidP="00CC492D">
      <w:p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Dostarczany system </w:t>
      </w:r>
      <w:proofErr w:type="spellStart"/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elektroforyczny</w:t>
      </w:r>
      <w:proofErr w:type="spellEnd"/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do </w:t>
      </w:r>
      <w:proofErr w:type="spellStart"/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elektroforyzy</w:t>
      </w:r>
      <w:proofErr w:type="spellEnd"/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poziomej musi być dedykowany do analizy DNA metodą elektroforezy żelowej. Komora jest dostosowana do pracy z żelami </w:t>
      </w:r>
      <w:proofErr w:type="spellStart"/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agarozowymi</w:t>
      </w:r>
      <w:proofErr w:type="spellEnd"/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w komorze. Musi zapewniać wszechstronność w zakresie długości żeli, grubości komór oraz trybów separacji, a także musi spełniać funkcję narzędzia do przeprowadzania analiz w ramach metod </w:t>
      </w:r>
      <w:proofErr w:type="spellStart"/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blottingowych</w:t>
      </w:r>
      <w:proofErr w:type="spellEnd"/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(Southern i </w:t>
      </w:r>
      <w:proofErr w:type="spellStart"/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Northern</w:t>
      </w:r>
      <w:proofErr w:type="spellEnd"/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).</w:t>
      </w:r>
    </w:p>
    <w:p w14:paraId="3D049B64" w14:textId="77777777" w:rsidR="00A5628B" w:rsidRPr="00A5628B" w:rsidRDefault="00A5628B" w:rsidP="00CC492D">
      <w:p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II. Specyfikacje techniczne:</w:t>
      </w:r>
    </w:p>
    <w:p w14:paraId="74CA186D" w14:textId="3FB05845" w:rsidR="00A5628B" w:rsidRPr="00A5628B" w:rsidRDefault="00A5628B" w:rsidP="00CC492D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Wymiary komory </w:t>
      </w:r>
      <w:r w:rsidR="00D20E44"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(S</w:t>
      </w:r>
      <w:r w:rsidR="00D20E44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zerokość</w:t>
      </w:r>
      <w:r w:rsidR="00D20E44"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 x D</w:t>
      </w:r>
      <w:r w:rsidR="00D20E44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ługość</w:t>
      </w:r>
      <w:r w:rsidR="00D20E44"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 x W</w:t>
      </w:r>
      <w:r w:rsidR="00D20E44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ysokość</w:t>
      </w:r>
      <w:r w:rsidR="00D20E44"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)</w:t>
      </w: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:</w:t>
      </w:r>
    </w:p>
    <w:p w14:paraId="08180A48" w14:textId="76F68EF2" w:rsidR="00A5628B" w:rsidRPr="00A5628B" w:rsidRDefault="00A5628B" w:rsidP="00CC492D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18 cm x 40</w:t>
      </w:r>
      <w:r w:rsidR="00D20E44">
        <w:rPr>
          <w:rFonts w:eastAsia="Times New Roman" w:cs="Times New Roman"/>
          <w:color w:val="auto"/>
          <w:spacing w:val="0"/>
          <w:szCs w:val="20"/>
          <w:lang w:eastAsia="pl-PL"/>
        </w:rPr>
        <w:t>,</w:t>
      </w: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5 cm x 9</w:t>
      </w:r>
      <w:r w:rsidR="00D20E44">
        <w:rPr>
          <w:rFonts w:eastAsia="Times New Roman" w:cs="Times New Roman"/>
          <w:color w:val="auto"/>
          <w:spacing w:val="0"/>
          <w:szCs w:val="20"/>
          <w:lang w:eastAsia="pl-PL"/>
        </w:rPr>
        <w:t>,</w:t>
      </w: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4 cm</w:t>
      </w:r>
      <w:r w:rsidR="00836CD0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(+/-2%)</w:t>
      </w:r>
    </w:p>
    <w:p w14:paraId="1D4F293A" w14:textId="094B66E5" w:rsidR="00A5628B" w:rsidRPr="00A5628B" w:rsidRDefault="00A5628B" w:rsidP="00CC492D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Rozmiary tac żelowych </w:t>
      </w:r>
      <w:r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kompatybilnych z komorą </w:t>
      </w:r>
      <w:r w:rsidR="00D20E44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                </w:t>
      </w:r>
      <w:r w:rsidR="00D20E44" w:rsidRPr="00D20E44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(Szerokość x Długość)</w:t>
      </w: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:</w:t>
      </w:r>
    </w:p>
    <w:p w14:paraId="00ED4AF9" w14:textId="77777777" w:rsidR="00A5628B" w:rsidRPr="00A5628B" w:rsidRDefault="00A5628B" w:rsidP="00CC492D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15 cm x 10 cm</w:t>
      </w:r>
    </w:p>
    <w:p w14:paraId="2A61EF13" w14:textId="77777777" w:rsidR="00A5628B" w:rsidRPr="00A5628B" w:rsidRDefault="00A5628B" w:rsidP="00CC492D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15 cm x 15 cm</w:t>
      </w:r>
    </w:p>
    <w:p w14:paraId="0A1D83B9" w14:textId="77777777" w:rsidR="00A5628B" w:rsidRPr="00A5628B" w:rsidRDefault="00A5628B" w:rsidP="00CC492D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15 cm x 20 cm</w:t>
      </w:r>
    </w:p>
    <w:p w14:paraId="29530AB1" w14:textId="77777777" w:rsidR="00A5628B" w:rsidRPr="00A5628B" w:rsidRDefault="00A5628B" w:rsidP="00CC492D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15 cm x 25 cm</w:t>
      </w:r>
    </w:p>
    <w:p w14:paraId="31495117" w14:textId="44371581" w:rsidR="00A5628B" w:rsidRPr="008B01E6" w:rsidRDefault="00A5628B" w:rsidP="00CC492D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8B01E6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Wydajność </w:t>
      </w:r>
      <w:r w:rsidR="00D20E44" w:rsidRPr="008B01E6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(ilość) </w:t>
      </w:r>
      <w:r w:rsidRPr="008B01E6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próbek w analizie:</w:t>
      </w:r>
    </w:p>
    <w:p w14:paraId="64B8B260" w14:textId="77777777" w:rsidR="00A5628B" w:rsidRPr="00A5628B" w:rsidRDefault="00A5628B" w:rsidP="00CC492D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1–120 próbek</w:t>
      </w:r>
    </w:p>
    <w:p w14:paraId="1CA0079C" w14:textId="77777777" w:rsidR="00A5628B" w:rsidRPr="00A5628B" w:rsidRDefault="00A5628B" w:rsidP="00CC492D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Objętość buforu bazowego:</w:t>
      </w:r>
    </w:p>
    <w:p w14:paraId="4250B361" w14:textId="77777777" w:rsidR="00A5628B" w:rsidRPr="00A5628B" w:rsidRDefault="00A5628B" w:rsidP="00CC492D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~1 L</w:t>
      </w:r>
    </w:p>
    <w:p w14:paraId="0CE49E18" w14:textId="77777777" w:rsidR="00A5628B" w:rsidRPr="00A5628B" w:rsidRDefault="00A5628B" w:rsidP="00CC492D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Migracja </w:t>
      </w:r>
      <w:proofErr w:type="spellStart"/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bromofenolu</w:t>
      </w:r>
      <w:proofErr w:type="spellEnd"/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 niebieskiego:</w:t>
      </w:r>
    </w:p>
    <w:p w14:paraId="3991AC5A" w14:textId="77777777" w:rsidR="00A5628B" w:rsidRPr="00A5628B" w:rsidRDefault="00A5628B" w:rsidP="00CC492D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~3.0 cm/godz. (przy 75 V)</w:t>
      </w:r>
    </w:p>
    <w:p w14:paraId="248DC3ED" w14:textId="77777777" w:rsidR="00A5628B" w:rsidRPr="00A5628B" w:rsidRDefault="00A5628B" w:rsidP="00CC492D">
      <w:p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III. Cechy szczególne:</w:t>
      </w:r>
    </w:p>
    <w:p w14:paraId="7F3256C2" w14:textId="1DAA3031" w:rsidR="00A5628B" w:rsidRPr="009B448B" w:rsidRDefault="00A5628B" w:rsidP="009B448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="Times New Roman"/>
          <w:strike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Elektrody:</w:t>
      </w: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</w:t>
      </w:r>
      <w:proofErr w:type="spellStart"/>
      <w:r w:rsidR="003D154F">
        <w:rPr>
          <w:rFonts w:eastAsia="Times New Roman" w:cs="Times New Roman"/>
          <w:color w:val="auto"/>
          <w:spacing w:val="0"/>
          <w:szCs w:val="20"/>
          <w:lang w:eastAsia="pl-PL"/>
        </w:rPr>
        <w:t>demontowalne</w:t>
      </w:r>
      <w:proofErr w:type="spellEnd"/>
      <w:r w:rsidR="003D154F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, umożliwiające czyszczenie </w:t>
      </w:r>
    </w:p>
    <w:p w14:paraId="493748E3" w14:textId="43B57F4C" w:rsidR="00A5628B" w:rsidRPr="00A5628B" w:rsidRDefault="00A5628B" w:rsidP="00CC492D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oznaczenia elektrod i bazy</w:t>
      </w:r>
      <w:r w:rsidR="003D154F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, które wskazują poprawność umiejscowienia pokrywy</w:t>
      </w:r>
      <w:r w:rsidR="009B44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.</w:t>
      </w:r>
    </w:p>
    <w:p w14:paraId="740D36BB" w14:textId="321FD854" w:rsidR="00A5628B" w:rsidRPr="00A5628B" w:rsidRDefault="00A5628B" w:rsidP="00CC492D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Konstrukcja przezroczysta:</w:t>
      </w: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U</w:t>
      </w:r>
      <w:r w:rsidR="003D154F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możliwiająca </w:t>
      </w: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wizualizację próbek.</w:t>
      </w:r>
    </w:p>
    <w:p w14:paraId="39F993CD" w14:textId="52A43360" w:rsidR="00A5628B" w:rsidRPr="00A5628B" w:rsidRDefault="00A5628B" w:rsidP="00CC492D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Tac</w:t>
      </w:r>
      <w:r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e</w:t>
      </w: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 żelow</w:t>
      </w:r>
      <w:r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e</w:t>
      </w: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 UV-przezroczyst</w:t>
      </w:r>
      <w:r w:rsidR="00B800B1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e</w:t>
      </w: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:</w:t>
      </w: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Z wbudowaną fluorescencyjną linijką.</w:t>
      </w:r>
    </w:p>
    <w:p w14:paraId="662DF70F" w14:textId="2C39BF8B" w:rsidR="00A5628B" w:rsidRPr="00A5628B" w:rsidRDefault="00A5628B" w:rsidP="00CC492D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Grzebienie (</w:t>
      </w:r>
      <w:proofErr w:type="spellStart"/>
      <w:r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komby</w:t>
      </w:r>
      <w:proofErr w:type="spellEnd"/>
      <w:r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)</w:t>
      </w: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:</w:t>
      </w: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</w:t>
      </w:r>
      <w:r w:rsidR="003D154F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muszą wykazywać </w:t>
      </w:r>
      <w:r w:rsidR="00D20E44">
        <w:rPr>
          <w:rFonts w:eastAsia="Times New Roman" w:cs="Times New Roman"/>
          <w:color w:val="auto"/>
          <w:spacing w:val="0"/>
          <w:szCs w:val="20"/>
          <w:lang w:eastAsia="pl-PL"/>
        </w:rPr>
        <w:t>kompatybilność z różnymi grzebieniami wytwarzającymi określoną ilość dołków reakcyjnych</w:t>
      </w:r>
    </w:p>
    <w:p w14:paraId="0C6BE5FA" w14:textId="77777777" w:rsidR="00A5628B" w:rsidRPr="00A5628B" w:rsidRDefault="00A5628B" w:rsidP="00CC492D">
      <w:p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IV. Zawartość zestawu:</w:t>
      </w:r>
    </w:p>
    <w:p w14:paraId="22624E09" w14:textId="3A004D93" w:rsidR="00A5628B" w:rsidRPr="00A5628B" w:rsidRDefault="00A5628B" w:rsidP="00CC492D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lastRenderedPageBreak/>
        <w:t>Komora buforowa</w:t>
      </w:r>
      <w:r w:rsidR="00B800B1">
        <w:rPr>
          <w:rFonts w:eastAsia="Times New Roman" w:cs="Times New Roman"/>
          <w:color w:val="auto"/>
          <w:spacing w:val="0"/>
          <w:szCs w:val="20"/>
          <w:lang w:eastAsia="pl-PL"/>
        </w:rPr>
        <w:t>: 1 szt.</w:t>
      </w:r>
    </w:p>
    <w:p w14:paraId="30587B2C" w14:textId="3C1974A6" w:rsidR="00A5628B" w:rsidRPr="00A5628B" w:rsidRDefault="00A5628B" w:rsidP="00CC492D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Pokrywa z kablami</w:t>
      </w:r>
      <w:r w:rsidR="00B800B1">
        <w:rPr>
          <w:rFonts w:eastAsia="Times New Roman" w:cs="Times New Roman"/>
          <w:color w:val="auto"/>
          <w:spacing w:val="0"/>
          <w:szCs w:val="20"/>
          <w:lang w:eastAsia="pl-PL"/>
        </w:rPr>
        <w:t>: 1 szt.</w:t>
      </w:r>
    </w:p>
    <w:p w14:paraId="4D7A20E6" w14:textId="72A1203D" w:rsidR="00A5628B" w:rsidRPr="00A5628B" w:rsidRDefault="00A5628B" w:rsidP="00CC492D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Tac</w:t>
      </w:r>
      <w:r w:rsidR="00824D5E">
        <w:rPr>
          <w:rFonts w:eastAsia="Times New Roman" w:cs="Times New Roman"/>
          <w:color w:val="auto"/>
          <w:spacing w:val="0"/>
          <w:szCs w:val="20"/>
          <w:lang w:eastAsia="pl-PL"/>
        </w:rPr>
        <w:t>e</w:t>
      </w: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UV-przezroczyst</w:t>
      </w:r>
      <w:r w:rsidR="00824D5E">
        <w:rPr>
          <w:rFonts w:eastAsia="Times New Roman" w:cs="Times New Roman"/>
          <w:color w:val="auto"/>
          <w:spacing w:val="0"/>
          <w:szCs w:val="20"/>
          <w:lang w:eastAsia="pl-PL"/>
        </w:rPr>
        <w:t>e:</w:t>
      </w: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15 x 15 cm</w:t>
      </w:r>
      <w:r w:rsidR="00B800B1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(1 szt.)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oraz 15 x 25 cm</w:t>
      </w:r>
      <w:r w:rsidR="00B800B1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(1 szt.)</w:t>
      </w:r>
    </w:p>
    <w:p w14:paraId="614CF031" w14:textId="2A9282D5" w:rsidR="00A5628B" w:rsidRPr="00A5628B" w:rsidRDefault="00A5628B" w:rsidP="00CC492D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Poziomnica</w:t>
      </w:r>
      <w:r w:rsidR="00B800B1">
        <w:rPr>
          <w:rFonts w:eastAsia="Times New Roman" w:cs="Times New Roman"/>
          <w:color w:val="auto"/>
          <w:spacing w:val="0"/>
          <w:szCs w:val="20"/>
          <w:lang w:eastAsia="pl-PL"/>
        </w:rPr>
        <w:t>: 1 szt.</w:t>
      </w:r>
    </w:p>
    <w:p w14:paraId="5FA7836E" w14:textId="0A0CC63C" w:rsidR="00A5628B" w:rsidRPr="00A5628B" w:rsidRDefault="00B800B1" w:rsidP="00CC492D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Zestaw </w:t>
      </w:r>
      <w:proofErr w:type="spellStart"/>
      <w:r>
        <w:rPr>
          <w:rFonts w:eastAsia="Times New Roman" w:cs="Times New Roman"/>
          <w:color w:val="auto"/>
          <w:spacing w:val="0"/>
          <w:szCs w:val="20"/>
          <w:lang w:eastAsia="pl-PL"/>
        </w:rPr>
        <w:t>kombów</w:t>
      </w:r>
      <w:proofErr w:type="spellEnd"/>
      <w:r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</w:t>
      </w:r>
      <w:r w:rsid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(grzebieni) </w:t>
      </w:r>
      <w:r w:rsidR="00A5628B"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15- i 20-</w:t>
      </w:r>
      <w:r w:rsidR="00A5628B">
        <w:rPr>
          <w:rFonts w:eastAsia="Times New Roman" w:cs="Times New Roman"/>
          <w:color w:val="auto"/>
          <w:spacing w:val="0"/>
          <w:szCs w:val="20"/>
          <w:lang w:eastAsia="pl-PL"/>
        </w:rPr>
        <w:t>studzienkow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>ych</w:t>
      </w:r>
      <w:r w:rsidR="00A5628B">
        <w:rPr>
          <w:rFonts w:eastAsia="Times New Roman" w:cs="Times New Roman"/>
          <w:color w:val="auto"/>
          <w:spacing w:val="0"/>
          <w:szCs w:val="20"/>
          <w:lang w:eastAsia="pl-PL"/>
        </w:rPr>
        <w:t>:  15-studzienkow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>e</w:t>
      </w:r>
      <w:r w:rsid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(2 szt.) </w:t>
      </w:r>
      <w:r w:rsidR="00A5628B">
        <w:rPr>
          <w:rFonts w:eastAsia="Times New Roman" w:cs="Times New Roman"/>
          <w:color w:val="auto"/>
          <w:spacing w:val="0"/>
          <w:szCs w:val="20"/>
          <w:lang w:eastAsia="pl-PL"/>
        </w:rPr>
        <w:t>i 20-studzienkow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>e (2 szt.)</w:t>
      </w:r>
    </w:p>
    <w:p w14:paraId="386A07ED" w14:textId="759AD50B" w:rsidR="00A5628B" w:rsidRPr="00A5628B" w:rsidRDefault="00A5628B" w:rsidP="00CC492D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Bramki do wytwarzania żeli</w:t>
      </w:r>
      <w:r w:rsidR="00B800B1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(1 zestaw)</w:t>
      </w:r>
    </w:p>
    <w:p w14:paraId="56BED754" w14:textId="5920EBD5" w:rsidR="00A5628B" w:rsidRPr="00A5628B" w:rsidRDefault="00A5628B" w:rsidP="00CC492D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proofErr w:type="spellStart"/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Kaster</w:t>
      </w:r>
      <w:proofErr w:type="spellEnd"/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do żeli</w:t>
      </w:r>
      <w:r w:rsidR="004B5FD6">
        <w:rPr>
          <w:rFonts w:eastAsia="Times New Roman" w:cs="Times New Roman"/>
          <w:color w:val="auto"/>
          <w:spacing w:val="0"/>
          <w:szCs w:val="20"/>
          <w:lang w:eastAsia="pl-PL"/>
        </w:rPr>
        <w:t>:</w:t>
      </w:r>
      <w:r w:rsidR="00B800B1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</w:t>
      </w:r>
      <w:r w:rsidR="004B5FD6">
        <w:rPr>
          <w:rFonts w:eastAsia="Times New Roman" w:cs="Times New Roman"/>
          <w:color w:val="auto"/>
          <w:spacing w:val="0"/>
          <w:szCs w:val="20"/>
          <w:lang w:eastAsia="pl-PL"/>
        </w:rPr>
        <w:t>1 szt.</w:t>
      </w:r>
    </w:p>
    <w:p w14:paraId="07B64836" w14:textId="79A7F25E" w:rsidR="00824D5E" w:rsidRDefault="00824D5E" w:rsidP="00CC492D">
      <w:pPr>
        <w:pStyle w:val="Akapitzlist"/>
        <w:numPr>
          <w:ilvl w:val="1"/>
          <w:numId w:val="27"/>
        </w:numPr>
        <w:rPr>
          <w:rStyle w:val="Pogrubienie"/>
          <w:szCs w:val="20"/>
        </w:rPr>
      </w:pPr>
      <w:r w:rsidRPr="00C57CFA">
        <w:rPr>
          <w:rStyle w:val="Pogrubienie"/>
          <w:szCs w:val="20"/>
        </w:rPr>
        <w:t>System</w:t>
      </w:r>
      <w:r>
        <w:rPr>
          <w:rStyle w:val="Pogrubienie"/>
          <w:szCs w:val="20"/>
        </w:rPr>
        <w:t>y</w:t>
      </w:r>
      <w:r w:rsidRPr="00C57CFA">
        <w:rPr>
          <w:rStyle w:val="Pogrubienie"/>
          <w:szCs w:val="20"/>
        </w:rPr>
        <w:t xml:space="preserve"> </w:t>
      </w:r>
      <w:r w:rsidR="00D20E44">
        <w:rPr>
          <w:rStyle w:val="Pogrubienie"/>
          <w:szCs w:val="20"/>
        </w:rPr>
        <w:t xml:space="preserve">(2 szt.) </w:t>
      </w:r>
      <w:r w:rsidRPr="00C57CFA">
        <w:rPr>
          <w:rStyle w:val="Pogrubienie"/>
          <w:szCs w:val="20"/>
        </w:rPr>
        <w:t>do elektroforezy poziome</w:t>
      </w:r>
      <w:r>
        <w:rPr>
          <w:rStyle w:val="Pogrubienie"/>
          <w:szCs w:val="20"/>
        </w:rPr>
        <w:t>j umożliwiający analizę 2 żeli jednocześnie</w:t>
      </w:r>
      <w:r w:rsidR="00273DF6">
        <w:rPr>
          <w:rStyle w:val="Pogrubienie"/>
          <w:szCs w:val="20"/>
        </w:rPr>
        <w:t xml:space="preserve"> (typ Mini)</w:t>
      </w:r>
      <w:r>
        <w:rPr>
          <w:rStyle w:val="Pogrubienie"/>
          <w:szCs w:val="20"/>
        </w:rPr>
        <w:t xml:space="preserve"> </w:t>
      </w:r>
    </w:p>
    <w:p w14:paraId="1A1AF7AF" w14:textId="2B06F549" w:rsidR="004B5FD6" w:rsidRDefault="00824D5E" w:rsidP="00CC492D">
      <w:p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824D5E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Przedmiotem zamówienia jest system elektroforezy poziomej 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(2 szt.) </w:t>
      </w:r>
      <w:r w:rsidRPr="00824D5E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przeznaczony do szybkiego i ekonomicznego rozdzielania kwasów nukleinowych. System 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musi </w:t>
      </w:r>
      <w:r w:rsidRPr="00824D5E">
        <w:rPr>
          <w:rFonts w:eastAsia="Times New Roman" w:cs="Times New Roman"/>
          <w:color w:val="auto"/>
          <w:spacing w:val="0"/>
          <w:szCs w:val="20"/>
          <w:lang w:eastAsia="pl-PL"/>
        </w:rPr>
        <w:t>umożliwia</w:t>
      </w:r>
      <w:r w:rsidR="00D20E44">
        <w:rPr>
          <w:rFonts w:eastAsia="Times New Roman" w:cs="Times New Roman"/>
          <w:color w:val="auto"/>
          <w:spacing w:val="0"/>
          <w:szCs w:val="20"/>
          <w:lang w:eastAsia="pl-PL"/>
        </w:rPr>
        <w:t>ć</w:t>
      </w:r>
      <w:r w:rsidRPr="00824D5E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rozdzielanie do 30 próbek jednocześnie i </w:t>
      </w:r>
      <w:r w:rsidR="00D20E44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być </w:t>
      </w:r>
      <w:r w:rsidRPr="00824D5E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zaprojektowany do pracy z </w:t>
      </w:r>
      <w:r w:rsidR="00D20E44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żelami </w:t>
      </w:r>
      <w:proofErr w:type="spellStart"/>
      <w:r w:rsidR="00D20E44">
        <w:rPr>
          <w:rFonts w:eastAsia="Times New Roman" w:cs="Times New Roman"/>
          <w:color w:val="auto"/>
          <w:spacing w:val="0"/>
          <w:szCs w:val="20"/>
          <w:lang w:eastAsia="pl-PL"/>
        </w:rPr>
        <w:t>agarozowymi</w:t>
      </w:r>
      <w:proofErr w:type="spellEnd"/>
      <w:r w:rsidR="00D20E44">
        <w:rPr>
          <w:rFonts w:eastAsia="Times New Roman" w:cs="Times New Roman"/>
          <w:color w:val="auto"/>
          <w:spacing w:val="0"/>
          <w:szCs w:val="20"/>
          <w:lang w:eastAsia="pl-PL"/>
        </w:rPr>
        <w:t>.</w:t>
      </w:r>
    </w:p>
    <w:p w14:paraId="600C9CA4" w14:textId="76A78573" w:rsidR="00824D5E" w:rsidRPr="00A5628B" w:rsidRDefault="00824D5E" w:rsidP="00CC492D">
      <w:p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II. Specyfikacje techniczne:</w:t>
      </w:r>
    </w:p>
    <w:p w14:paraId="6E0B52D7" w14:textId="29DF8676" w:rsidR="00D20E44" w:rsidRPr="00D20E44" w:rsidRDefault="00824D5E" w:rsidP="00CC492D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Wymiary komory </w:t>
      </w:r>
      <w:bookmarkStart w:id="2" w:name="_Hlk175682720"/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(S</w:t>
      </w:r>
      <w:r w:rsidR="00D20E44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zerokość</w:t>
      </w: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 x D</w:t>
      </w:r>
      <w:r w:rsidR="00D20E44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ługość</w:t>
      </w: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 x W</w:t>
      </w:r>
      <w:r w:rsidR="00D20E44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ysokość</w:t>
      </w: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)</w:t>
      </w:r>
      <w:bookmarkEnd w:id="2"/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:</w:t>
      </w:r>
      <w:r w:rsidR="00D20E44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                 </w:t>
      </w:r>
      <w:r w:rsidR="00D20E44" w:rsidRPr="00D20E44">
        <w:rPr>
          <w:rFonts w:eastAsia="Times New Roman" w:cs="Times New Roman"/>
          <w:color w:val="auto"/>
          <w:spacing w:val="0"/>
          <w:szCs w:val="20"/>
          <w:lang w:eastAsia="pl-PL"/>
        </w:rPr>
        <w:t>9</w:t>
      </w:r>
      <w:r w:rsidR="00D20E44">
        <w:rPr>
          <w:rFonts w:eastAsia="Times New Roman" w:cs="Times New Roman"/>
          <w:color w:val="auto"/>
          <w:spacing w:val="0"/>
          <w:szCs w:val="20"/>
          <w:lang w:eastAsia="pl-PL"/>
        </w:rPr>
        <w:t>,</w:t>
      </w:r>
      <w:r w:rsidR="00D20E44" w:rsidRPr="00D20E44">
        <w:rPr>
          <w:rFonts w:eastAsia="Times New Roman" w:cs="Times New Roman"/>
          <w:color w:val="auto"/>
          <w:spacing w:val="0"/>
          <w:szCs w:val="20"/>
          <w:lang w:eastAsia="pl-PL"/>
        </w:rPr>
        <w:t>2 x 25</w:t>
      </w:r>
      <w:r w:rsidR="00D20E44">
        <w:rPr>
          <w:rFonts w:eastAsia="Times New Roman" w:cs="Times New Roman"/>
          <w:color w:val="auto"/>
          <w:spacing w:val="0"/>
          <w:szCs w:val="20"/>
          <w:lang w:eastAsia="pl-PL"/>
        </w:rPr>
        <w:t>,</w:t>
      </w:r>
      <w:r w:rsidR="00D20E44" w:rsidRPr="00D20E44">
        <w:rPr>
          <w:rFonts w:eastAsia="Times New Roman" w:cs="Times New Roman"/>
          <w:color w:val="auto"/>
          <w:spacing w:val="0"/>
          <w:szCs w:val="20"/>
          <w:lang w:eastAsia="pl-PL"/>
        </w:rPr>
        <w:t>5 x 5</w:t>
      </w:r>
      <w:r w:rsidR="00D20E44">
        <w:rPr>
          <w:rFonts w:eastAsia="Times New Roman" w:cs="Times New Roman"/>
          <w:color w:val="auto"/>
          <w:spacing w:val="0"/>
          <w:szCs w:val="20"/>
          <w:lang w:eastAsia="pl-PL"/>
        </w:rPr>
        <w:t>,</w:t>
      </w:r>
      <w:r w:rsidR="00D20E44" w:rsidRPr="00D20E44">
        <w:rPr>
          <w:rFonts w:eastAsia="Times New Roman" w:cs="Times New Roman"/>
          <w:color w:val="auto"/>
          <w:spacing w:val="0"/>
          <w:szCs w:val="20"/>
          <w:lang w:eastAsia="pl-PL"/>
        </w:rPr>
        <w:t>6 cm</w:t>
      </w:r>
      <w:r w:rsidR="003D154F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(+/-2%)</w:t>
      </w:r>
    </w:p>
    <w:p w14:paraId="6742A614" w14:textId="17FA07D6" w:rsidR="00824D5E" w:rsidRPr="00A5628B" w:rsidRDefault="00824D5E" w:rsidP="00CC492D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Rozmiary tac żelowych </w:t>
      </w:r>
      <w:r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kompatybilnych z komorą </w:t>
      </w:r>
      <w:r w:rsidR="00D20E44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             </w:t>
      </w: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(</w:t>
      </w:r>
      <w:r w:rsidR="00D20E44" w:rsidRPr="00D20E44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Szerokość</w:t>
      </w: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 x </w:t>
      </w:r>
      <w:r w:rsidR="00D20E44" w:rsidRPr="00D20E44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Długość</w:t>
      </w: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):</w:t>
      </w:r>
    </w:p>
    <w:p w14:paraId="02EA3592" w14:textId="623B9579" w:rsidR="00824D5E" w:rsidRPr="00A5628B" w:rsidRDefault="00B800B1" w:rsidP="00CC492D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>
        <w:rPr>
          <w:rFonts w:eastAsia="Times New Roman" w:cs="Times New Roman"/>
          <w:color w:val="auto"/>
          <w:spacing w:val="0"/>
          <w:szCs w:val="20"/>
          <w:lang w:eastAsia="pl-PL"/>
        </w:rPr>
        <w:t>7</w:t>
      </w:r>
      <w:r w:rsidR="00824D5E"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cm x 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>7</w:t>
      </w:r>
      <w:r w:rsidR="00824D5E"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cm</w:t>
      </w:r>
    </w:p>
    <w:p w14:paraId="6E15CF85" w14:textId="5DE855AE" w:rsidR="00824D5E" w:rsidRPr="00A5628B" w:rsidRDefault="00B800B1" w:rsidP="00CC492D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>
        <w:rPr>
          <w:rFonts w:eastAsia="Times New Roman" w:cs="Times New Roman"/>
          <w:color w:val="auto"/>
          <w:spacing w:val="0"/>
          <w:szCs w:val="20"/>
          <w:lang w:eastAsia="pl-PL"/>
        </w:rPr>
        <w:t>7</w:t>
      </w:r>
      <w:r w:rsidR="00824D5E"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cm x 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>10</w:t>
      </w:r>
      <w:r w:rsidR="00824D5E"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cm</w:t>
      </w:r>
    </w:p>
    <w:p w14:paraId="32D1CF20" w14:textId="77777777" w:rsidR="00824D5E" w:rsidRPr="00A5628B" w:rsidRDefault="00824D5E" w:rsidP="00CC492D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Wydajność próbek</w:t>
      </w:r>
      <w:r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 w analizie</w:t>
      </w: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:</w:t>
      </w:r>
    </w:p>
    <w:p w14:paraId="3603D445" w14:textId="66D9387D" w:rsidR="00824D5E" w:rsidRPr="00A5628B" w:rsidRDefault="00B800B1" w:rsidP="00CC492D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>
        <w:rPr>
          <w:rFonts w:eastAsia="Times New Roman" w:cs="Times New Roman"/>
          <w:color w:val="auto"/>
          <w:spacing w:val="0"/>
          <w:szCs w:val="20"/>
          <w:lang w:eastAsia="pl-PL"/>
        </w:rPr>
        <w:t>8</w:t>
      </w:r>
      <w:r w:rsidR="00824D5E"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–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>30</w:t>
      </w:r>
      <w:r w:rsidR="00824D5E"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próbek</w:t>
      </w:r>
    </w:p>
    <w:p w14:paraId="4BF32625" w14:textId="77777777" w:rsidR="00824D5E" w:rsidRPr="00A5628B" w:rsidRDefault="00824D5E" w:rsidP="00CC492D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Objętość buforu bazowego:</w:t>
      </w:r>
    </w:p>
    <w:p w14:paraId="4A0B336E" w14:textId="644E5F02" w:rsidR="00824D5E" w:rsidRPr="00A5628B" w:rsidRDefault="00824D5E" w:rsidP="00CC492D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~</w:t>
      </w:r>
      <w:r w:rsidR="00B800B1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270 </w:t>
      </w:r>
      <w:proofErr w:type="spellStart"/>
      <w:r w:rsidR="00B800B1">
        <w:rPr>
          <w:rFonts w:eastAsia="Times New Roman" w:cs="Times New Roman"/>
          <w:color w:val="auto"/>
          <w:spacing w:val="0"/>
          <w:szCs w:val="20"/>
          <w:lang w:eastAsia="pl-PL"/>
        </w:rPr>
        <w:t>mL</w:t>
      </w:r>
      <w:proofErr w:type="spellEnd"/>
    </w:p>
    <w:p w14:paraId="2AC0E292" w14:textId="77777777" w:rsidR="00824D5E" w:rsidRPr="00A5628B" w:rsidRDefault="00824D5E" w:rsidP="00CC492D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Migracja </w:t>
      </w:r>
      <w:proofErr w:type="spellStart"/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bromofenolu</w:t>
      </w:r>
      <w:proofErr w:type="spellEnd"/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 niebieskiego:</w:t>
      </w:r>
    </w:p>
    <w:p w14:paraId="44C0CC30" w14:textId="2ECF91EF" w:rsidR="00824D5E" w:rsidRPr="00A5628B" w:rsidRDefault="00B800B1" w:rsidP="00CC492D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B800B1">
        <w:rPr>
          <w:rFonts w:eastAsia="Times New Roman" w:cs="Times New Roman"/>
          <w:color w:val="auto"/>
          <w:spacing w:val="0"/>
          <w:szCs w:val="20"/>
          <w:lang w:eastAsia="pl-PL"/>
        </w:rPr>
        <w:t>~4.5 cm</w:t>
      </w:r>
      <w:r w:rsidR="00824D5E"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/godz. (przy 75 V)</w:t>
      </w:r>
    </w:p>
    <w:p w14:paraId="33661C6A" w14:textId="77777777" w:rsidR="00824D5E" w:rsidRPr="00A5628B" w:rsidRDefault="00824D5E" w:rsidP="00CC492D">
      <w:p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III. Cechy szczególne:</w:t>
      </w:r>
    </w:p>
    <w:p w14:paraId="216B7217" w14:textId="40D477B1" w:rsidR="003D154F" w:rsidRPr="00470A0D" w:rsidRDefault="003D154F" w:rsidP="003D154F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="Times New Roman"/>
          <w:strike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Elektrody:</w:t>
      </w: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</w:t>
      </w:r>
      <w:proofErr w:type="spellStart"/>
      <w:r>
        <w:rPr>
          <w:rFonts w:eastAsia="Times New Roman" w:cs="Times New Roman"/>
          <w:color w:val="auto"/>
          <w:spacing w:val="0"/>
          <w:szCs w:val="20"/>
          <w:lang w:eastAsia="pl-PL"/>
        </w:rPr>
        <w:t>demontowalne</w:t>
      </w:r>
      <w:proofErr w:type="spellEnd"/>
      <w:r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, umożliwiające czyszczenie </w:t>
      </w:r>
    </w:p>
    <w:p w14:paraId="74FA6571" w14:textId="3EFA3936" w:rsidR="003D154F" w:rsidRPr="00A5628B" w:rsidRDefault="003D154F" w:rsidP="003D154F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oznaczenia elektrod i bazy</w:t>
      </w:r>
      <w:r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, które wskazują poprawność umiejscowienia pokrywy</w:t>
      </w:r>
    </w:p>
    <w:p w14:paraId="77A32376" w14:textId="77777777" w:rsidR="003D154F" w:rsidRPr="00A5628B" w:rsidRDefault="003D154F" w:rsidP="003D154F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Konstrukcja przezroczysta:</w:t>
      </w: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U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możliwiająca </w:t>
      </w: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wizualizację próbek.</w:t>
      </w:r>
    </w:p>
    <w:p w14:paraId="48944AB8" w14:textId="77777777" w:rsidR="003D154F" w:rsidRPr="00A5628B" w:rsidRDefault="003D154F" w:rsidP="003D154F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Tac</w:t>
      </w:r>
      <w:r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e</w:t>
      </w: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 żelow</w:t>
      </w:r>
      <w:r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e</w:t>
      </w: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 xml:space="preserve"> UV-przezroczyst</w:t>
      </w:r>
      <w:r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e</w:t>
      </w: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:</w:t>
      </w: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Z wbudowaną fluorescencyjną linijką.</w:t>
      </w:r>
    </w:p>
    <w:p w14:paraId="7C036190" w14:textId="77777777" w:rsidR="003D154F" w:rsidRPr="00A5628B" w:rsidRDefault="003D154F" w:rsidP="003D154F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Grzebienie (</w:t>
      </w:r>
      <w:proofErr w:type="spellStart"/>
      <w:r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komby</w:t>
      </w:r>
      <w:proofErr w:type="spellEnd"/>
      <w:r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)</w:t>
      </w: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:</w:t>
      </w: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>muszą wykazywać kompatybilność z różnymi grzebieniami wytwarzającymi określoną ilość dołków reakcyjnych</w:t>
      </w:r>
    </w:p>
    <w:p w14:paraId="20646818" w14:textId="77777777" w:rsidR="00824D5E" w:rsidRPr="00A5628B" w:rsidRDefault="00824D5E" w:rsidP="00CC492D">
      <w:p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b/>
          <w:bCs/>
          <w:color w:val="auto"/>
          <w:spacing w:val="0"/>
          <w:szCs w:val="20"/>
          <w:lang w:eastAsia="pl-PL"/>
        </w:rPr>
        <w:t>IV. Zawartość zestawu:</w:t>
      </w:r>
    </w:p>
    <w:p w14:paraId="46FA31B7" w14:textId="1AD9F4AF" w:rsidR="00824D5E" w:rsidRPr="00A5628B" w:rsidRDefault="00824D5E" w:rsidP="00CC492D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Komora buforowa</w:t>
      </w:r>
      <w:r w:rsidR="004B5FD6">
        <w:rPr>
          <w:rFonts w:eastAsia="Times New Roman" w:cs="Times New Roman"/>
          <w:color w:val="auto"/>
          <w:spacing w:val="0"/>
          <w:szCs w:val="20"/>
          <w:lang w:eastAsia="pl-PL"/>
        </w:rPr>
        <w:t>: 2 szt.</w:t>
      </w:r>
    </w:p>
    <w:p w14:paraId="075220E3" w14:textId="56045F17" w:rsidR="00824D5E" w:rsidRPr="00A5628B" w:rsidRDefault="00824D5E" w:rsidP="00CC492D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Pokrywa z kablami</w:t>
      </w:r>
      <w:r w:rsidR="004B5FD6">
        <w:rPr>
          <w:rFonts w:eastAsia="Times New Roman" w:cs="Times New Roman"/>
          <w:color w:val="auto"/>
          <w:spacing w:val="0"/>
          <w:szCs w:val="20"/>
          <w:lang w:eastAsia="pl-PL"/>
        </w:rPr>
        <w:t>: 2 szt.</w:t>
      </w:r>
    </w:p>
    <w:p w14:paraId="74C44B0D" w14:textId="29BFEF0C" w:rsidR="00824D5E" w:rsidRPr="00A5628B" w:rsidRDefault="00824D5E" w:rsidP="00CC492D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Tac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>e</w:t>
      </w: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UV-przezroczyst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>e:</w:t>
      </w: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</w:t>
      </w:r>
      <w:r w:rsidR="004B5FD6">
        <w:rPr>
          <w:rFonts w:eastAsia="Times New Roman" w:cs="Times New Roman"/>
          <w:color w:val="auto"/>
          <w:spacing w:val="0"/>
          <w:szCs w:val="20"/>
          <w:lang w:eastAsia="pl-PL"/>
        </w:rPr>
        <w:t>7</w:t>
      </w: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x 1</w:t>
      </w:r>
      <w:r w:rsidR="004B5FD6">
        <w:rPr>
          <w:rFonts w:eastAsia="Times New Roman" w:cs="Times New Roman"/>
          <w:color w:val="auto"/>
          <w:spacing w:val="0"/>
          <w:szCs w:val="20"/>
          <w:lang w:eastAsia="pl-PL"/>
        </w:rPr>
        <w:t>0</w:t>
      </w: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cm</w:t>
      </w:r>
      <w:r w:rsidR="004B5FD6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(2 szt.)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oraz </w:t>
      </w:r>
      <w:r w:rsidR="004B5FD6">
        <w:rPr>
          <w:rFonts w:eastAsia="Times New Roman" w:cs="Times New Roman"/>
          <w:color w:val="auto"/>
          <w:spacing w:val="0"/>
          <w:szCs w:val="20"/>
          <w:lang w:eastAsia="pl-PL"/>
        </w:rPr>
        <w:t>7 x 7 cm (2 szt.)</w:t>
      </w:r>
    </w:p>
    <w:p w14:paraId="2E509FB3" w14:textId="0176E463" w:rsidR="004B5FD6" w:rsidRPr="00A5628B" w:rsidRDefault="00824D5E" w:rsidP="00CC492D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Poziomnica</w:t>
      </w:r>
      <w:r w:rsidR="004B5FD6">
        <w:rPr>
          <w:rFonts w:eastAsia="Times New Roman" w:cs="Times New Roman"/>
          <w:color w:val="auto"/>
          <w:spacing w:val="0"/>
          <w:szCs w:val="20"/>
          <w:lang w:eastAsia="pl-PL"/>
        </w:rPr>
        <w:t>: 2 szt.</w:t>
      </w:r>
    </w:p>
    <w:p w14:paraId="131A182D" w14:textId="145E2486" w:rsidR="00824D5E" w:rsidRPr="00A5628B" w:rsidRDefault="00824D5E" w:rsidP="00CC492D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proofErr w:type="spellStart"/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Komby</w:t>
      </w:r>
      <w:proofErr w:type="spellEnd"/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(grzebienie) </w:t>
      </w:r>
      <w:r w:rsidR="004B5FD6">
        <w:rPr>
          <w:rFonts w:eastAsia="Times New Roman" w:cs="Times New Roman"/>
          <w:color w:val="auto"/>
          <w:spacing w:val="0"/>
          <w:szCs w:val="20"/>
          <w:lang w:eastAsia="pl-PL"/>
        </w:rPr>
        <w:t>8</w:t>
      </w: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- i </w:t>
      </w:r>
      <w:r w:rsidR="004B5FD6">
        <w:rPr>
          <w:rFonts w:eastAsia="Times New Roman" w:cs="Times New Roman"/>
          <w:color w:val="auto"/>
          <w:spacing w:val="0"/>
          <w:szCs w:val="20"/>
          <w:lang w:eastAsia="pl-PL"/>
        </w:rPr>
        <w:t>15</w:t>
      </w:r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>-</w:t>
      </w:r>
      <w:r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studzienkowe:  </w:t>
      </w:r>
      <w:r w:rsidR="004B5FD6">
        <w:rPr>
          <w:rFonts w:eastAsia="Times New Roman" w:cs="Times New Roman"/>
          <w:color w:val="auto"/>
          <w:spacing w:val="0"/>
          <w:szCs w:val="20"/>
          <w:lang w:eastAsia="pl-PL"/>
        </w:rPr>
        <w:t>8</w:t>
      </w:r>
      <w:r w:rsidR="004B5FD6" w:rsidRPr="004B5FD6">
        <w:rPr>
          <w:rFonts w:eastAsia="Times New Roman" w:cs="Times New Roman"/>
          <w:color w:val="auto"/>
          <w:spacing w:val="0"/>
          <w:szCs w:val="20"/>
          <w:lang w:eastAsia="pl-PL"/>
        </w:rPr>
        <w:t>-studzienkowe (</w:t>
      </w:r>
      <w:r w:rsidR="004B5FD6">
        <w:rPr>
          <w:rFonts w:eastAsia="Times New Roman" w:cs="Times New Roman"/>
          <w:color w:val="auto"/>
          <w:spacing w:val="0"/>
          <w:szCs w:val="20"/>
          <w:lang w:eastAsia="pl-PL"/>
        </w:rPr>
        <w:t>4</w:t>
      </w:r>
      <w:r w:rsidR="004B5FD6" w:rsidRPr="004B5FD6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szt.) i </w:t>
      </w:r>
      <w:r w:rsidR="004B5FD6">
        <w:rPr>
          <w:rFonts w:eastAsia="Times New Roman" w:cs="Times New Roman"/>
          <w:color w:val="auto"/>
          <w:spacing w:val="0"/>
          <w:szCs w:val="20"/>
          <w:lang w:eastAsia="pl-PL"/>
        </w:rPr>
        <w:t>15</w:t>
      </w:r>
      <w:r w:rsidR="004B5FD6" w:rsidRPr="004B5FD6">
        <w:rPr>
          <w:rFonts w:eastAsia="Times New Roman" w:cs="Times New Roman"/>
          <w:color w:val="auto"/>
          <w:spacing w:val="0"/>
          <w:szCs w:val="20"/>
          <w:lang w:eastAsia="pl-PL"/>
        </w:rPr>
        <w:t>-studzienkowe (</w:t>
      </w:r>
      <w:r w:rsidR="004B5FD6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4 </w:t>
      </w:r>
      <w:r w:rsidR="004B5FD6" w:rsidRPr="004B5FD6">
        <w:rPr>
          <w:rFonts w:eastAsia="Times New Roman" w:cs="Times New Roman"/>
          <w:color w:val="auto"/>
          <w:spacing w:val="0"/>
          <w:szCs w:val="20"/>
          <w:lang w:eastAsia="pl-PL"/>
        </w:rPr>
        <w:t>szt.)</w:t>
      </w:r>
    </w:p>
    <w:p w14:paraId="1BB97C28" w14:textId="3B09F93C" w:rsidR="00C57CFA" w:rsidRDefault="00824D5E" w:rsidP="00CC492D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proofErr w:type="spellStart"/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lastRenderedPageBreak/>
        <w:t>Kaster</w:t>
      </w:r>
      <w:proofErr w:type="spellEnd"/>
      <w:r w:rsidRPr="00A5628B">
        <w:rPr>
          <w:rFonts w:eastAsia="Times New Roman" w:cs="Times New Roman"/>
          <w:color w:val="auto"/>
          <w:spacing w:val="0"/>
          <w:szCs w:val="20"/>
          <w:lang w:eastAsia="pl-PL"/>
        </w:rPr>
        <w:t xml:space="preserve"> do żeli</w:t>
      </w:r>
      <w:r w:rsidR="004B5FD6">
        <w:rPr>
          <w:rFonts w:eastAsia="Times New Roman" w:cs="Times New Roman"/>
          <w:color w:val="auto"/>
          <w:spacing w:val="0"/>
          <w:szCs w:val="20"/>
          <w:lang w:eastAsia="pl-PL"/>
        </w:rPr>
        <w:t>: 2 szt.</w:t>
      </w:r>
    </w:p>
    <w:p w14:paraId="08AB51BC" w14:textId="642A71B3" w:rsidR="00273DF6" w:rsidRPr="00155869" w:rsidRDefault="00155869" w:rsidP="00CC492D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eastAsia="Times New Roman" w:cs="Times New Roman"/>
          <w:color w:val="auto"/>
          <w:spacing w:val="0"/>
          <w:szCs w:val="20"/>
          <w:lang w:eastAsia="pl-PL"/>
        </w:rPr>
      </w:pPr>
      <w:r>
        <w:t>anoda wymienna kompatybilna do dostarczanego system – 1 sztuka</w:t>
      </w:r>
    </w:p>
    <w:p w14:paraId="2A011BBB" w14:textId="0CE33D2D" w:rsidR="00155869" w:rsidRPr="004B5FD6" w:rsidRDefault="00155869" w:rsidP="00CC492D">
      <w:pPr>
        <w:numPr>
          <w:ilvl w:val="0"/>
          <w:numId w:val="33"/>
        </w:numPr>
        <w:spacing w:before="100" w:beforeAutospacing="1" w:after="100" w:afterAutospacing="1" w:line="240" w:lineRule="auto"/>
        <w:rPr>
          <w:rStyle w:val="Pogrubienie"/>
          <w:rFonts w:eastAsia="Times New Roman" w:cs="Times New Roman"/>
          <w:b w:val="0"/>
          <w:bCs w:val="0"/>
          <w:color w:val="auto"/>
          <w:spacing w:val="0"/>
          <w:szCs w:val="20"/>
          <w:lang w:eastAsia="pl-PL"/>
        </w:rPr>
      </w:pPr>
      <w:r>
        <w:t>katoda wymienna kompatybilna do dostarczanego system – 1 sztuka</w:t>
      </w:r>
    </w:p>
    <w:p w14:paraId="4B58D571" w14:textId="77777777" w:rsidR="00155869" w:rsidRPr="004B5FD6" w:rsidRDefault="00155869" w:rsidP="00CC492D">
      <w:pPr>
        <w:spacing w:before="100" w:beforeAutospacing="1" w:after="100" w:afterAutospacing="1" w:line="240" w:lineRule="auto"/>
        <w:ind w:left="720"/>
        <w:rPr>
          <w:rStyle w:val="Pogrubienie"/>
          <w:rFonts w:eastAsia="Times New Roman" w:cs="Times New Roman"/>
          <w:b w:val="0"/>
          <w:bCs w:val="0"/>
          <w:color w:val="auto"/>
          <w:spacing w:val="0"/>
          <w:szCs w:val="20"/>
          <w:lang w:eastAsia="pl-PL"/>
        </w:rPr>
      </w:pPr>
    </w:p>
    <w:p w14:paraId="09262562" w14:textId="77777777" w:rsidR="00776879" w:rsidRDefault="00776879" w:rsidP="00CC492D">
      <w:pPr>
        <w:spacing w:before="120" w:after="120" w:line="240" w:lineRule="auto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</w:p>
    <w:p w14:paraId="7AAAD966" w14:textId="65CD1EDE" w:rsidR="00262726" w:rsidRPr="00606016" w:rsidRDefault="00262726" w:rsidP="00CC492D">
      <w:pPr>
        <w:spacing w:before="120" w:after="120" w:line="240" w:lineRule="auto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  <w:r w:rsidRPr="0060601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Dodatkowe wymagania Zamawiającego</w:t>
      </w:r>
      <w:r w:rsidR="00027FC4" w:rsidRPr="0060601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.</w:t>
      </w:r>
      <w:r w:rsidRPr="00606016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 </w:t>
      </w:r>
    </w:p>
    <w:p w14:paraId="72887495" w14:textId="4EDFCF8A" w:rsidR="003E292E" w:rsidRDefault="00D76D1B" w:rsidP="00CC492D">
      <w:p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G</w:t>
      </w:r>
      <w:r w:rsidR="00262726" w:rsidRPr="00262726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warancja na urządzenie w okresie minimum </w:t>
      </w:r>
      <w:r w:rsidR="004B5FD6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12</w:t>
      </w:r>
      <w:r w:rsidR="00262726" w:rsidRPr="00262726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miesięcy od daty </w:t>
      </w:r>
      <w:r w:rsidR="003E292E" w:rsidRPr="00262726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podpisania protokołu odbioru bez zastrzeżeń.</w:t>
      </w:r>
    </w:p>
    <w:p w14:paraId="7EF74E08" w14:textId="4EF6C56E" w:rsidR="00262726" w:rsidRPr="00262726" w:rsidRDefault="00F052EB" w:rsidP="00CC492D">
      <w:p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>
        <w:t xml:space="preserve">Autoryzowany przez producenta serwis w Polsce. </w:t>
      </w:r>
      <w:r w:rsidR="00262726" w:rsidRPr="00262726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Serwis pierwszego kontaktu w języku polskim</w:t>
      </w:r>
      <w:r w:rsidR="00B30944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.</w:t>
      </w:r>
    </w:p>
    <w:p w14:paraId="707975D9" w14:textId="5EFCFE24" w:rsidR="00262726" w:rsidRPr="00262726" w:rsidRDefault="00262726" w:rsidP="00CC492D">
      <w:p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262726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Czas reakcji serwisu od momentu zgłoszenia w dowolnej formie (e-mail lub zgłoszenie serwisowe) w przypadku awarii do </w:t>
      </w:r>
      <w:r w:rsidR="00606016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72</w:t>
      </w:r>
      <w:r w:rsidRPr="00262726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h</w:t>
      </w:r>
      <w:r w:rsidR="00FD234E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.</w:t>
      </w:r>
    </w:p>
    <w:p w14:paraId="7EAB0A3A" w14:textId="1416D0F7" w:rsidR="00262726" w:rsidRPr="00262726" w:rsidRDefault="00262726" w:rsidP="00CC492D">
      <w:p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 w:rsidRPr="00262726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Maksymalny czas usunięcia awarii: </w:t>
      </w:r>
      <w:r w:rsidR="00606016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21</w:t>
      </w:r>
      <w:r w:rsidRPr="00262726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dni od momentu zgłoszenia w dowolnej formie (e-mail lub zgłoszenie serwisowe) </w:t>
      </w:r>
      <w:r w:rsidR="00155869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(dotyczy elementów które podlegają naprawie lub serwisowi)</w:t>
      </w:r>
    </w:p>
    <w:p w14:paraId="7B6F0373" w14:textId="7A5BB209" w:rsidR="00F052EB" w:rsidRPr="00C2579E" w:rsidRDefault="00F052EB" w:rsidP="00CC492D">
      <w:pPr>
        <w:spacing w:before="120" w:after="120" w:line="240" w:lineRule="auto"/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</w:pPr>
      <w:r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Certyfikat CE lub równoważny</w:t>
      </w:r>
      <w:r w:rsidR="00621110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 xml:space="preserve"> – musi spełniać </w:t>
      </w:r>
      <w:r w:rsidR="00621110" w:rsidRPr="00621110">
        <w:rPr>
          <w:rFonts w:asciiTheme="majorHAnsi" w:eastAsia="Calibri" w:hAnsiTheme="majorHAnsi" w:cs="Roboto Lt"/>
          <w:color w:val="000000"/>
          <w:spacing w:val="0"/>
          <w:szCs w:val="20"/>
          <w:lang w:eastAsia="pl-PL"/>
        </w:rPr>
        <w:t>wymogi unijnych dyrektyw wydany przez uprawnioną instytucję, który potwierdza zgodność z międzynarodowymi standardami dotyczącymi bezpieczeństwa, zdrowia i ochrony środowiska</w:t>
      </w:r>
    </w:p>
    <w:sectPr w:rsidR="00F052EB" w:rsidRPr="00C2579E" w:rsidSect="00057FAD">
      <w:headerReference w:type="default" r:id="rId10"/>
      <w:footerReference w:type="default" r:id="rId11"/>
      <w:footerReference w:type="first" r:id="rId12"/>
      <w:pgSz w:w="11906" w:h="16838" w:code="9"/>
      <w:pgMar w:top="1843" w:right="1021" w:bottom="2155" w:left="2722" w:header="709" w:footer="1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09312" w14:textId="77777777" w:rsidR="00634272" w:rsidRDefault="00634272" w:rsidP="006747BD">
      <w:pPr>
        <w:spacing w:after="0" w:line="240" w:lineRule="auto"/>
      </w:pPr>
      <w:r>
        <w:separator/>
      </w:r>
    </w:p>
  </w:endnote>
  <w:endnote w:type="continuationSeparator" w:id="0">
    <w:p w14:paraId="56B6EF81" w14:textId="77777777" w:rsidR="00634272" w:rsidRDefault="00634272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 Lt">
    <w:charset w:val="EE"/>
    <w:family w:val="auto"/>
    <w:pitch w:val="variable"/>
    <w:sig w:usb0="E00002EF" w:usb1="5000205B" w:usb2="0000002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Content>
      <w:sdt>
        <w:sdtPr>
          <w:id w:val="-187525118"/>
          <w:docPartObj>
            <w:docPartGallery w:val="Page Numbers (Top of Page)"/>
            <w:docPartUnique/>
          </w:docPartObj>
        </w:sdtPr>
        <w:sdtContent>
          <w:p w14:paraId="3F4BC41F" w14:textId="212A4E87" w:rsidR="002C5CFA" w:rsidRDefault="00151443">
            <w:pPr>
              <w:pStyle w:val="Stopka"/>
            </w:pPr>
            <w:r w:rsidRPr="00132F45">
              <w:rPr>
                <w:noProof/>
              </w:rPr>
              <w:drawing>
                <wp:inline distT="0" distB="0" distL="0" distR="0" wp14:anchorId="6F1342B8" wp14:editId="50F37717">
                  <wp:extent cx="4572000" cy="381000"/>
                  <wp:effectExtent l="0" t="0" r="0" b="0"/>
                  <wp:docPr id="271834624" name="Obraz 271834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AFAF34" w14:textId="77777777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4B1026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4B1026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6E144D7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57216" behindDoc="1" locked="1" layoutInCell="1" allowOverlap="1" wp14:anchorId="52E8F38F" wp14:editId="4DD49EAC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0D811A3" wp14:editId="2C297C4C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9F6D99" w14:textId="77777777" w:rsidR="001F74C1" w:rsidRDefault="001F74C1" w:rsidP="001F74C1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1A3C5D94" w14:textId="77777777" w:rsidR="001F74C1" w:rsidRDefault="001F74C1" w:rsidP="001F74C1">
                          <w:pPr>
                            <w:pStyle w:val="LukStopka-adres"/>
                          </w:pPr>
                          <w:r>
                            <w:t>54-066 Wrocław, ul. Stabłowicka 147, Tel: +48 71 734 77 77</w:t>
                          </w:r>
                        </w:p>
                        <w:p w14:paraId="18DEA5D3" w14:textId="77777777" w:rsidR="001F74C1" w:rsidRDefault="001F74C1" w:rsidP="001F74C1">
                          <w:pPr>
                            <w:pStyle w:val="LukStopka-adres"/>
                          </w:pPr>
                          <w:r>
                            <w:t xml:space="preserve">E-mail: biuro@port.luaksiewicz.gov.pl | NIP: </w:t>
                          </w:r>
                          <w:r w:rsidRPr="006F645A">
                            <w:t>894 314 05 23</w:t>
                          </w:r>
                          <w:r>
                            <w:t xml:space="preserve">, REGON: </w:t>
                          </w:r>
                          <w:r w:rsidRPr="00BB210B">
                            <w:t>386585168</w:t>
                          </w:r>
                        </w:p>
                        <w:p w14:paraId="308C45D4" w14:textId="77777777" w:rsidR="001F74C1" w:rsidRDefault="001F74C1" w:rsidP="001F74C1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105F9602" w14:textId="77777777" w:rsidR="001F74C1" w:rsidRPr="00ED7972" w:rsidRDefault="001F74C1" w:rsidP="001F74C1">
                          <w:pPr>
                            <w:pStyle w:val="LukStopka-adres"/>
                          </w:pPr>
                          <w:r>
                            <w:t xml:space="preserve">Nr KRS: </w:t>
                          </w:r>
                          <w:r w:rsidRPr="00BB210B">
                            <w:t>0000850580</w:t>
                          </w:r>
                        </w:p>
                        <w:p w14:paraId="48C19182" w14:textId="77777777" w:rsidR="00DA52A1" w:rsidRPr="00ED7972" w:rsidRDefault="00DA52A1" w:rsidP="006F645A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D811A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579F6D99" w14:textId="77777777" w:rsidR="001F74C1" w:rsidRDefault="001F74C1" w:rsidP="001F74C1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1A3C5D94" w14:textId="77777777" w:rsidR="001F74C1" w:rsidRDefault="001F74C1" w:rsidP="001F74C1">
                    <w:pPr>
                      <w:pStyle w:val="LukStopka-adres"/>
                    </w:pPr>
                    <w:r>
                      <w:t>54-066 Wrocław, ul. Stabłowicka 147, Tel: +48 71 734 77 77</w:t>
                    </w:r>
                  </w:p>
                  <w:p w14:paraId="18DEA5D3" w14:textId="77777777" w:rsidR="001F74C1" w:rsidRDefault="001F74C1" w:rsidP="001F74C1">
                    <w:pPr>
                      <w:pStyle w:val="LukStopka-adres"/>
                    </w:pPr>
                    <w:r>
                      <w:t xml:space="preserve">E-mail: biuro@port.luaksiewicz.gov.pl | NIP: </w:t>
                    </w:r>
                    <w:r w:rsidRPr="006F645A">
                      <w:t>894 314 05 23</w:t>
                    </w:r>
                    <w:r>
                      <w:t xml:space="preserve">, REGON: </w:t>
                    </w:r>
                    <w:r w:rsidRPr="00BB210B">
                      <w:t>386585168</w:t>
                    </w:r>
                  </w:p>
                  <w:p w14:paraId="308C45D4" w14:textId="77777777" w:rsidR="001F74C1" w:rsidRDefault="001F74C1" w:rsidP="001F74C1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105F9602" w14:textId="77777777" w:rsidR="001F74C1" w:rsidRPr="00ED7972" w:rsidRDefault="001F74C1" w:rsidP="001F74C1">
                    <w:pPr>
                      <w:pStyle w:val="LukStopka-adres"/>
                    </w:pPr>
                    <w:r>
                      <w:t xml:space="preserve">Nr KRS: </w:t>
                    </w:r>
                    <w:r w:rsidRPr="00BB210B">
                      <w:t>0000850580</w:t>
                    </w:r>
                  </w:p>
                  <w:p w14:paraId="48C19182" w14:textId="77777777" w:rsidR="00DA52A1" w:rsidRPr="00ED7972" w:rsidRDefault="00DA52A1" w:rsidP="006F645A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5C091" w14:textId="77777777" w:rsidR="003F4BA3" w:rsidRPr="00D06D36" w:rsidRDefault="003317CA" w:rsidP="003317CA">
    <w:pPr>
      <w:pStyle w:val="LukStopka-adres"/>
      <w:rPr>
        <w:spacing w:val="2"/>
      </w:rPr>
    </w:pPr>
    <w:r>
      <w:rPr>
        <w:spacing w:val="2"/>
        <w:lang w:eastAsia="pl-PL"/>
      </w:rPr>
      <w:t>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4F18E" w14:textId="77777777" w:rsidR="00634272" w:rsidRDefault="00634272" w:rsidP="006747BD">
      <w:pPr>
        <w:spacing w:after="0" w:line="240" w:lineRule="auto"/>
      </w:pPr>
      <w:r>
        <w:separator/>
      </w:r>
    </w:p>
  </w:footnote>
  <w:footnote w:type="continuationSeparator" w:id="0">
    <w:p w14:paraId="4FB5042E" w14:textId="77777777" w:rsidR="00634272" w:rsidRDefault="00634272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C0243" w14:textId="77777777" w:rsidR="002C5CFA" w:rsidRDefault="0099379C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7696" behindDoc="1" locked="1" layoutInCell="1" allowOverlap="1" wp14:anchorId="5ACBA937" wp14:editId="522790C0">
          <wp:simplePos x="0" y="0"/>
          <wp:positionH relativeFrom="column">
            <wp:posOffset>-1080135</wp:posOffset>
          </wp:positionH>
          <wp:positionV relativeFrom="page">
            <wp:posOffset>532765</wp:posOffset>
          </wp:positionV>
          <wp:extent cx="792000" cy="1609200"/>
          <wp:effectExtent l="0" t="0" r="825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000" cy="160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5861"/>
    <w:multiLevelType w:val="multilevel"/>
    <w:tmpl w:val="8F68F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22E4BD9"/>
    <w:multiLevelType w:val="hybridMultilevel"/>
    <w:tmpl w:val="5046F4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6F2A74"/>
    <w:multiLevelType w:val="multilevel"/>
    <w:tmpl w:val="9FC61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82D5F70"/>
    <w:multiLevelType w:val="multilevel"/>
    <w:tmpl w:val="7FFA204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05C3C65"/>
    <w:multiLevelType w:val="hybridMultilevel"/>
    <w:tmpl w:val="5046F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8E17FD"/>
    <w:multiLevelType w:val="multilevel"/>
    <w:tmpl w:val="EBA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28F2270"/>
    <w:multiLevelType w:val="multilevel"/>
    <w:tmpl w:val="464A0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7" w15:restartNumberingAfterBreak="0">
    <w:nsid w:val="1A2D54DA"/>
    <w:multiLevelType w:val="multilevel"/>
    <w:tmpl w:val="083A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B0E1F15"/>
    <w:multiLevelType w:val="multilevel"/>
    <w:tmpl w:val="537AE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E374CE1"/>
    <w:multiLevelType w:val="hybridMultilevel"/>
    <w:tmpl w:val="FD5C4E98"/>
    <w:lvl w:ilvl="0" w:tplc="82DC9B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3D1C99"/>
    <w:multiLevelType w:val="hybridMultilevel"/>
    <w:tmpl w:val="A7BE9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6E4F6F"/>
    <w:multiLevelType w:val="multilevel"/>
    <w:tmpl w:val="7FFA204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A31C19"/>
    <w:multiLevelType w:val="multilevel"/>
    <w:tmpl w:val="22767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1C7F45"/>
    <w:multiLevelType w:val="multilevel"/>
    <w:tmpl w:val="BF944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6CA484C"/>
    <w:multiLevelType w:val="hybridMultilevel"/>
    <w:tmpl w:val="5046F4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A87452"/>
    <w:multiLevelType w:val="multilevel"/>
    <w:tmpl w:val="5080B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D002147"/>
    <w:multiLevelType w:val="multilevel"/>
    <w:tmpl w:val="CBAAC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D206A65"/>
    <w:multiLevelType w:val="multilevel"/>
    <w:tmpl w:val="DC624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1A43054"/>
    <w:multiLevelType w:val="hybridMultilevel"/>
    <w:tmpl w:val="69B81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942369"/>
    <w:multiLevelType w:val="multilevel"/>
    <w:tmpl w:val="5080B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9C86AE6"/>
    <w:multiLevelType w:val="multilevel"/>
    <w:tmpl w:val="90466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B7D7916"/>
    <w:multiLevelType w:val="hybridMultilevel"/>
    <w:tmpl w:val="601A4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88289B"/>
    <w:multiLevelType w:val="hybridMultilevel"/>
    <w:tmpl w:val="F3CA490A"/>
    <w:lvl w:ilvl="0" w:tplc="5A3C12F2">
      <w:start w:val="1"/>
      <w:numFmt w:val="decimal"/>
      <w:lvlText w:val="%1)"/>
      <w:lvlJc w:val="left"/>
      <w:pPr>
        <w:ind w:left="1428" w:hanging="360"/>
      </w:pPr>
      <w:rPr>
        <w:rFonts w:asciiTheme="majorHAnsi" w:eastAsia="Calibri" w:hAnsiTheme="majorHAnsi" w:cs="Roboto Lt"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44A7066A"/>
    <w:multiLevelType w:val="hybridMultilevel"/>
    <w:tmpl w:val="7F3C9FFC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55A90630"/>
    <w:multiLevelType w:val="hybridMultilevel"/>
    <w:tmpl w:val="FBE63BB8"/>
    <w:lvl w:ilvl="0" w:tplc="2ECA65EE">
      <w:start w:val="10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Segoe UI" w:hint="default"/>
        <w:color w:val="0D0D0D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242B2A"/>
    <w:multiLevelType w:val="multilevel"/>
    <w:tmpl w:val="5080B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AE6CF5"/>
    <w:multiLevelType w:val="hybridMultilevel"/>
    <w:tmpl w:val="B574CF0A"/>
    <w:lvl w:ilvl="0" w:tplc="F32460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116606"/>
    <w:multiLevelType w:val="multilevel"/>
    <w:tmpl w:val="BF944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A421602"/>
    <w:multiLevelType w:val="multilevel"/>
    <w:tmpl w:val="7BD4F50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D04CE7"/>
    <w:multiLevelType w:val="hybridMultilevel"/>
    <w:tmpl w:val="0638ED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08468829">
    <w:abstractNumId w:val="9"/>
  </w:num>
  <w:num w:numId="2" w16cid:durableId="1364014437">
    <w:abstractNumId w:val="8"/>
  </w:num>
  <w:num w:numId="3" w16cid:durableId="475031285">
    <w:abstractNumId w:val="3"/>
  </w:num>
  <w:num w:numId="4" w16cid:durableId="1415011783">
    <w:abstractNumId w:val="2"/>
  </w:num>
  <w:num w:numId="5" w16cid:durableId="222909651">
    <w:abstractNumId w:val="1"/>
  </w:num>
  <w:num w:numId="6" w16cid:durableId="2061443599">
    <w:abstractNumId w:val="0"/>
  </w:num>
  <w:num w:numId="7" w16cid:durableId="289211262">
    <w:abstractNumId w:val="7"/>
  </w:num>
  <w:num w:numId="8" w16cid:durableId="807085818">
    <w:abstractNumId w:val="6"/>
  </w:num>
  <w:num w:numId="9" w16cid:durableId="1571378122">
    <w:abstractNumId w:val="5"/>
  </w:num>
  <w:num w:numId="10" w16cid:durableId="1394934953">
    <w:abstractNumId w:val="4"/>
  </w:num>
  <w:num w:numId="11" w16cid:durableId="86371420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20363270">
    <w:abstractNumId w:val="36"/>
  </w:num>
  <w:num w:numId="13" w16cid:durableId="1308584298">
    <w:abstractNumId w:val="32"/>
  </w:num>
  <w:num w:numId="14" w16cid:durableId="30153771">
    <w:abstractNumId w:val="19"/>
  </w:num>
  <w:num w:numId="15" w16cid:durableId="1215963548">
    <w:abstractNumId w:val="14"/>
  </w:num>
  <w:num w:numId="16" w16cid:durableId="37248186">
    <w:abstractNumId w:val="20"/>
  </w:num>
  <w:num w:numId="17" w16cid:durableId="1918200954">
    <w:abstractNumId w:val="33"/>
  </w:num>
  <w:num w:numId="18" w16cid:durableId="2032105821">
    <w:abstractNumId w:val="12"/>
  </w:num>
  <w:num w:numId="19" w16cid:durableId="332495193">
    <w:abstractNumId w:val="31"/>
  </w:num>
  <w:num w:numId="20" w16cid:durableId="2071420007">
    <w:abstractNumId w:val="11"/>
  </w:num>
  <w:num w:numId="21" w16cid:durableId="1415974420">
    <w:abstractNumId w:val="24"/>
  </w:num>
  <w:num w:numId="22" w16cid:durableId="692338889">
    <w:abstractNumId w:val="34"/>
  </w:num>
  <w:num w:numId="23" w16cid:durableId="1218007351">
    <w:abstractNumId w:val="38"/>
  </w:num>
  <w:num w:numId="24" w16cid:durableId="1072462541">
    <w:abstractNumId w:val="30"/>
  </w:num>
  <w:num w:numId="25" w16cid:durableId="2124572432">
    <w:abstractNumId w:val="23"/>
  </w:num>
  <w:num w:numId="26" w16cid:durableId="456071972">
    <w:abstractNumId w:val="26"/>
  </w:num>
  <w:num w:numId="27" w16cid:durableId="649097066">
    <w:abstractNumId w:val="16"/>
  </w:num>
  <w:num w:numId="28" w16cid:durableId="2136560587">
    <w:abstractNumId w:val="22"/>
  </w:num>
  <w:num w:numId="29" w16cid:durableId="1250701798">
    <w:abstractNumId w:val="39"/>
  </w:num>
  <w:num w:numId="30" w16cid:durableId="1978875101">
    <w:abstractNumId w:val="28"/>
  </w:num>
  <w:num w:numId="31" w16cid:durableId="383254958">
    <w:abstractNumId w:val="13"/>
  </w:num>
  <w:num w:numId="32" w16cid:durableId="525021017">
    <w:abstractNumId w:val="17"/>
  </w:num>
  <w:num w:numId="33" w16cid:durableId="753555164">
    <w:abstractNumId w:val="35"/>
  </w:num>
  <w:num w:numId="34" w16cid:durableId="2133816477">
    <w:abstractNumId w:val="18"/>
  </w:num>
  <w:num w:numId="35" w16cid:durableId="770011700">
    <w:abstractNumId w:val="21"/>
  </w:num>
  <w:num w:numId="36" w16cid:durableId="1285695724">
    <w:abstractNumId w:val="25"/>
  </w:num>
  <w:num w:numId="37" w16cid:durableId="974137861">
    <w:abstractNumId w:val="27"/>
  </w:num>
  <w:num w:numId="38" w16cid:durableId="868496967">
    <w:abstractNumId w:val="15"/>
  </w:num>
  <w:num w:numId="39" w16cid:durableId="1922982233">
    <w:abstractNumId w:val="10"/>
  </w:num>
  <w:num w:numId="40" w16cid:durableId="1366445192">
    <w:abstractNumId w:val="29"/>
  </w:num>
  <w:num w:numId="41" w16cid:durableId="174660953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1330C"/>
    <w:rsid w:val="000146EF"/>
    <w:rsid w:val="00021879"/>
    <w:rsid w:val="00027FC4"/>
    <w:rsid w:val="00057D03"/>
    <w:rsid w:val="00057FAD"/>
    <w:rsid w:val="0006183A"/>
    <w:rsid w:val="00064275"/>
    <w:rsid w:val="00070438"/>
    <w:rsid w:val="00077647"/>
    <w:rsid w:val="00082A55"/>
    <w:rsid w:val="000842D3"/>
    <w:rsid w:val="000C4B13"/>
    <w:rsid w:val="000C753E"/>
    <w:rsid w:val="000D2F0F"/>
    <w:rsid w:val="000E079E"/>
    <w:rsid w:val="000F3C91"/>
    <w:rsid w:val="00115763"/>
    <w:rsid w:val="001227B7"/>
    <w:rsid w:val="00134929"/>
    <w:rsid w:val="00135F15"/>
    <w:rsid w:val="00145CEF"/>
    <w:rsid w:val="00147EE4"/>
    <w:rsid w:val="00150224"/>
    <w:rsid w:val="00151443"/>
    <w:rsid w:val="00155869"/>
    <w:rsid w:val="001679CC"/>
    <w:rsid w:val="0018090C"/>
    <w:rsid w:val="0018230B"/>
    <w:rsid w:val="001A0BD2"/>
    <w:rsid w:val="001A1A9D"/>
    <w:rsid w:val="001A3F93"/>
    <w:rsid w:val="001A59E1"/>
    <w:rsid w:val="001C35CF"/>
    <w:rsid w:val="001C6737"/>
    <w:rsid w:val="001D3491"/>
    <w:rsid w:val="001D419F"/>
    <w:rsid w:val="001D5E46"/>
    <w:rsid w:val="001E359C"/>
    <w:rsid w:val="001F1900"/>
    <w:rsid w:val="001F74C1"/>
    <w:rsid w:val="00214847"/>
    <w:rsid w:val="002240A2"/>
    <w:rsid w:val="002269BC"/>
    <w:rsid w:val="00230C06"/>
    <w:rsid w:val="00231524"/>
    <w:rsid w:val="00237F39"/>
    <w:rsid w:val="00241C4E"/>
    <w:rsid w:val="00246D38"/>
    <w:rsid w:val="00261B94"/>
    <w:rsid w:val="002622B6"/>
    <w:rsid w:val="00262726"/>
    <w:rsid w:val="00273DF6"/>
    <w:rsid w:val="00277C76"/>
    <w:rsid w:val="0028308D"/>
    <w:rsid w:val="00297234"/>
    <w:rsid w:val="002A3C3D"/>
    <w:rsid w:val="002C0390"/>
    <w:rsid w:val="002C5CFA"/>
    <w:rsid w:val="002D48BE"/>
    <w:rsid w:val="002F4540"/>
    <w:rsid w:val="00300E04"/>
    <w:rsid w:val="0030418E"/>
    <w:rsid w:val="003067F4"/>
    <w:rsid w:val="00321B5E"/>
    <w:rsid w:val="003317CA"/>
    <w:rsid w:val="00335F9F"/>
    <w:rsid w:val="00346C00"/>
    <w:rsid w:val="00354A18"/>
    <w:rsid w:val="003550F2"/>
    <w:rsid w:val="00367DF3"/>
    <w:rsid w:val="0037106F"/>
    <w:rsid w:val="00376920"/>
    <w:rsid w:val="003A67E9"/>
    <w:rsid w:val="003D07F7"/>
    <w:rsid w:val="003D154F"/>
    <w:rsid w:val="003D5032"/>
    <w:rsid w:val="003D7CDB"/>
    <w:rsid w:val="003E292E"/>
    <w:rsid w:val="003F4BA3"/>
    <w:rsid w:val="003F5E14"/>
    <w:rsid w:val="00401F6F"/>
    <w:rsid w:val="00411AA0"/>
    <w:rsid w:val="00423B34"/>
    <w:rsid w:val="00444D42"/>
    <w:rsid w:val="00471761"/>
    <w:rsid w:val="004726C6"/>
    <w:rsid w:val="00480E4C"/>
    <w:rsid w:val="00493043"/>
    <w:rsid w:val="004961CE"/>
    <w:rsid w:val="00497502"/>
    <w:rsid w:val="004B1026"/>
    <w:rsid w:val="004B5FD6"/>
    <w:rsid w:val="004C2BDF"/>
    <w:rsid w:val="004E0291"/>
    <w:rsid w:val="004F5805"/>
    <w:rsid w:val="00501000"/>
    <w:rsid w:val="00514906"/>
    <w:rsid w:val="00526CDD"/>
    <w:rsid w:val="005353F3"/>
    <w:rsid w:val="0054311A"/>
    <w:rsid w:val="00583C80"/>
    <w:rsid w:val="005B34BC"/>
    <w:rsid w:val="005C4FEE"/>
    <w:rsid w:val="005C6E3A"/>
    <w:rsid w:val="005D102F"/>
    <w:rsid w:val="005D1495"/>
    <w:rsid w:val="005E0AE1"/>
    <w:rsid w:val="005E65BB"/>
    <w:rsid w:val="005F1338"/>
    <w:rsid w:val="0060376F"/>
    <w:rsid w:val="00606016"/>
    <w:rsid w:val="00606DF8"/>
    <w:rsid w:val="00621110"/>
    <w:rsid w:val="00634272"/>
    <w:rsid w:val="0063591E"/>
    <w:rsid w:val="006422B7"/>
    <w:rsid w:val="006547C7"/>
    <w:rsid w:val="00672771"/>
    <w:rsid w:val="006747BD"/>
    <w:rsid w:val="006919BD"/>
    <w:rsid w:val="006D6DE5"/>
    <w:rsid w:val="006E5990"/>
    <w:rsid w:val="006F645A"/>
    <w:rsid w:val="00726DD6"/>
    <w:rsid w:val="00742F01"/>
    <w:rsid w:val="00764305"/>
    <w:rsid w:val="00765ED1"/>
    <w:rsid w:val="00770DA8"/>
    <w:rsid w:val="00776879"/>
    <w:rsid w:val="0078356D"/>
    <w:rsid w:val="00791C1D"/>
    <w:rsid w:val="007A28F8"/>
    <w:rsid w:val="007C3BC7"/>
    <w:rsid w:val="007D22CD"/>
    <w:rsid w:val="007E2D73"/>
    <w:rsid w:val="007F2596"/>
    <w:rsid w:val="007F433F"/>
    <w:rsid w:val="00805DF6"/>
    <w:rsid w:val="00812F4C"/>
    <w:rsid w:val="0082034A"/>
    <w:rsid w:val="00821F16"/>
    <w:rsid w:val="00824D5E"/>
    <w:rsid w:val="00832BA2"/>
    <w:rsid w:val="008368C0"/>
    <w:rsid w:val="00836CD0"/>
    <w:rsid w:val="008404BE"/>
    <w:rsid w:val="0084396A"/>
    <w:rsid w:val="008442CF"/>
    <w:rsid w:val="00851C56"/>
    <w:rsid w:val="00854B7B"/>
    <w:rsid w:val="00883677"/>
    <w:rsid w:val="008853F0"/>
    <w:rsid w:val="008B01E6"/>
    <w:rsid w:val="008C1729"/>
    <w:rsid w:val="008C75DD"/>
    <w:rsid w:val="008E073F"/>
    <w:rsid w:val="008E41BF"/>
    <w:rsid w:val="008F0195"/>
    <w:rsid w:val="008F027B"/>
    <w:rsid w:val="008F0B16"/>
    <w:rsid w:val="008F209D"/>
    <w:rsid w:val="009009EB"/>
    <w:rsid w:val="00900BB5"/>
    <w:rsid w:val="00913DB2"/>
    <w:rsid w:val="009268E4"/>
    <w:rsid w:val="009314E5"/>
    <w:rsid w:val="009341FB"/>
    <w:rsid w:val="0093618D"/>
    <w:rsid w:val="0094609B"/>
    <w:rsid w:val="009524FF"/>
    <w:rsid w:val="00970DDA"/>
    <w:rsid w:val="0099379C"/>
    <w:rsid w:val="009A7497"/>
    <w:rsid w:val="009B1FD4"/>
    <w:rsid w:val="009B448B"/>
    <w:rsid w:val="009D4C4D"/>
    <w:rsid w:val="00A23236"/>
    <w:rsid w:val="00A33399"/>
    <w:rsid w:val="00A36F46"/>
    <w:rsid w:val="00A40712"/>
    <w:rsid w:val="00A42301"/>
    <w:rsid w:val="00A42DE4"/>
    <w:rsid w:val="00A4666C"/>
    <w:rsid w:val="00A52C29"/>
    <w:rsid w:val="00A5628B"/>
    <w:rsid w:val="00A61A67"/>
    <w:rsid w:val="00A67686"/>
    <w:rsid w:val="00A6785C"/>
    <w:rsid w:val="00A74755"/>
    <w:rsid w:val="00A762C0"/>
    <w:rsid w:val="00A76956"/>
    <w:rsid w:val="00A83BFE"/>
    <w:rsid w:val="00AA5CB0"/>
    <w:rsid w:val="00AB00A6"/>
    <w:rsid w:val="00AC288A"/>
    <w:rsid w:val="00AC363B"/>
    <w:rsid w:val="00AD4567"/>
    <w:rsid w:val="00AD49F1"/>
    <w:rsid w:val="00B203FC"/>
    <w:rsid w:val="00B30944"/>
    <w:rsid w:val="00B316D2"/>
    <w:rsid w:val="00B43E4A"/>
    <w:rsid w:val="00B47F5A"/>
    <w:rsid w:val="00B61F8A"/>
    <w:rsid w:val="00B67029"/>
    <w:rsid w:val="00B800B1"/>
    <w:rsid w:val="00B83DBF"/>
    <w:rsid w:val="00BB6CFF"/>
    <w:rsid w:val="00BC414B"/>
    <w:rsid w:val="00BC4200"/>
    <w:rsid w:val="00BC43BD"/>
    <w:rsid w:val="00BD426E"/>
    <w:rsid w:val="00BF192C"/>
    <w:rsid w:val="00BF4392"/>
    <w:rsid w:val="00C04D18"/>
    <w:rsid w:val="00C2579E"/>
    <w:rsid w:val="00C25C85"/>
    <w:rsid w:val="00C333F1"/>
    <w:rsid w:val="00C57CFA"/>
    <w:rsid w:val="00C736D5"/>
    <w:rsid w:val="00C772AD"/>
    <w:rsid w:val="00C81DB8"/>
    <w:rsid w:val="00CA49E7"/>
    <w:rsid w:val="00CC492D"/>
    <w:rsid w:val="00CC51E3"/>
    <w:rsid w:val="00CD5102"/>
    <w:rsid w:val="00CD63BA"/>
    <w:rsid w:val="00CD7F8F"/>
    <w:rsid w:val="00CE2F99"/>
    <w:rsid w:val="00CE3923"/>
    <w:rsid w:val="00CF47C1"/>
    <w:rsid w:val="00D005B3"/>
    <w:rsid w:val="00D03A4A"/>
    <w:rsid w:val="00D06D36"/>
    <w:rsid w:val="00D20E44"/>
    <w:rsid w:val="00D40690"/>
    <w:rsid w:val="00D45EB7"/>
    <w:rsid w:val="00D64BCD"/>
    <w:rsid w:val="00D7218E"/>
    <w:rsid w:val="00D76D1B"/>
    <w:rsid w:val="00D856B6"/>
    <w:rsid w:val="00DA058B"/>
    <w:rsid w:val="00DA153A"/>
    <w:rsid w:val="00DA4464"/>
    <w:rsid w:val="00DA52A1"/>
    <w:rsid w:val="00DB2F67"/>
    <w:rsid w:val="00DD078A"/>
    <w:rsid w:val="00DF3AE1"/>
    <w:rsid w:val="00E030DC"/>
    <w:rsid w:val="00E03E6A"/>
    <w:rsid w:val="00E1798C"/>
    <w:rsid w:val="00E341AF"/>
    <w:rsid w:val="00E53151"/>
    <w:rsid w:val="00E73380"/>
    <w:rsid w:val="00E97DFE"/>
    <w:rsid w:val="00EA2865"/>
    <w:rsid w:val="00EA54A1"/>
    <w:rsid w:val="00EB782B"/>
    <w:rsid w:val="00ED7972"/>
    <w:rsid w:val="00EE493C"/>
    <w:rsid w:val="00EF77B0"/>
    <w:rsid w:val="00F052EB"/>
    <w:rsid w:val="00F144FC"/>
    <w:rsid w:val="00F35528"/>
    <w:rsid w:val="00F72432"/>
    <w:rsid w:val="00FC43BF"/>
    <w:rsid w:val="00FD1824"/>
    <w:rsid w:val="00FD234E"/>
    <w:rsid w:val="00FD39C3"/>
    <w:rsid w:val="00FF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0939CE"/>
  <w15:docId w15:val="{DC7BF75B-4078-46DC-9881-0E9EF393C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7CF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1A11F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79C"/>
    <w:rPr>
      <w:rFonts w:ascii="Segoe UI" w:hAnsi="Segoe UI" w:cs="Segoe UI"/>
      <w:color w:val="000000" w:themeColor="background1"/>
      <w:spacing w:val="4"/>
      <w:sz w:val="18"/>
      <w:szCs w:val="18"/>
    </w:rPr>
  </w:style>
  <w:style w:type="character" w:customStyle="1" w:styleId="readonlytext">
    <w:name w:val="readonly_text"/>
    <w:basedOn w:val="Domylnaczcionkaakapitu"/>
    <w:rsid w:val="00497502"/>
  </w:style>
  <w:style w:type="character" w:customStyle="1" w:styleId="ui-provider">
    <w:name w:val="ui-provider"/>
    <w:basedOn w:val="Domylnaczcionkaakapitu"/>
    <w:rsid w:val="00057D03"/>
  </w:style>
  <w:style w:type="paragraph" w:styleId="Akapitzlist">
    <w:name w:val="List Paragraph"/>
    <w:basedOn w:val="Normalny"/>
    <w:uiPriority w:val="34"/>
    <w:rsid w:val="00241C4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E2D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2D7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2D73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D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D73"/>
    <w:rPr>
      <w:b/>
      <w:bCs/>
      <w:color w:val="000000" w:themeColor="background1"/>
      <w:spacing w:val="4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E97DF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25C8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456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62726"/>
    <w:pPr>
      <w:spacing w:after="0" w:line="240" w:lineRule="auto"/>
    </w:pPr>
    <w:rPr>
      <w:color w:val="000000" w:themeColor="background1"/>
      <w:spacing w:val="4"/>
      <w:sz w:val="20"/>
    </w:rPr>
  </w:style>
  <w:style w:type="character" w:styleId="Pogrubienie">
    <w:name w:val="Strong"/>
    <w:basedOn w:val="Domylnaczcionkaakapitu"/>
    <w:uiPriority w:val="22"/>
    <w:qFormat/>
    <w:rsid w:val="002A3C3D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7CFA"/>
    <w:rPr>
      <w:rFonts w:asciiTheme="majorHAnsi" w:eastAsiaTheme="majorEastAsia" w:hAnsiTheme="majorHAnsi" w:cstheme="majorBidi"/>
      <w:i/>
      <w:iCs/>
      <w:color w:val="31A11F" w:themeColor="accent1" w:themeShade="BF"/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33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7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9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97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86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5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5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04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39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8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73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7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00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80E947CFC99046ACF97E94117BF123" ma:contentTypeVersion="36" ma:contentTypeDescription="Utwórz nowy dokument." ma:contentTypeScope="" ma:versionID="dfc74c5c5d33e0c7d3fd716b08c0bbec">
  <xsd:schema xmlns:xsd="http://www.w3.org/2001/XMLSchema" xmlns:xs="http://www.w3.org/2001/XMLSchema" xmlns:p="http://schemas.microsoft.com/office/2006/metadata/properties" xmlns:ns2="84141fab-40ef-492f-9a5e-7c422361107c" xmlns:ns3="25403c7b-c6b4-4198-8117-dbd0ece2577a" targetNamespace="http://schemas.microsoft.com/office/2006/metadata/properties" ma:root="true" ma:fieldsID="16fa72873177d40c8b184f8be326e771" ns2:_="" ns3:_="">
    <xsd:import namespace="84141fab-40ef-492f-9a5e-7c422361107c"/>
    <xsd:import namespace="25403c7b-c6b4-4198-8117-dbd0ece25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R_x002e_ZAM" minOccurs="0"/>
                <xsd:element ref="ns2:DATA_x002e_DOK" minOccurs="0"/>
                <xsd:element ref="ns2:DATA_x002e_UM" minOccurs="0"/>
                <xsd:element ref="ns2:NR_x002e_UM" minOccurs="0"/>
                <xsd:element ref="ns2:NETTO" minOccurs="0"/>
                <xsd:element ref="ns2:NETTO_x002e_SL" minOccurs="0"/>
                <xsd:element ref="ns2:BRUTTO" minOccurs="0"/>
                <xsd:element ref="ns2:BRUTTO_x002e_SL" minOccurs="0"/>
                <xsd:element ref="ns2:DZ" minOccurs="0"/>
                <xsd:element ref="ns2:DANE_x002e_WYK" minOccurs="0"/>
                <xsd:element ref="ns3:SharedWithUsers" minOccurs="0"/>
                <xsd:element ref="ns3:SharedWithDetails" minOccurs="0"/>
                <xsd:element ref="ns2:Tabel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41fab-40ef-492f-9a5e-7c4223611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R_x002e_ZAM" ma:index="12" nillable="true" ma:displayName="NR.ZAM" ma:format="Dropdown" ma:internalName="NR_x002e_ZAM">
      <xsd:simpleType>
        <xsd:restriction base="dms:Text">
          <xsd:maxLength value="255"/>
        </xsd:restriction>
      </xsd:simpleType>
    </xsd:element>
    <xsd:element name="DATA_x002e_DOK" ma:index="13" nillable="true" ma:displayName="DATA.DOK" ma:default="[today]" ma:format="DateOnly" ma:internalName="DATA_x002e_DOK">
      <xsd:simpleType>
        <xsd:restriction base="dms:DateTime"/>
      </xsd:simpleType>
    </xsd:element>
    <xsd:element name="DATA_x002e_UM" ma:index="14" nillable="true" ma:displayName="DATA.UM" ma:format="Dropdown" ma:internalName="DATA_x002e_UM">
      <xsd:simpleType>
        <xsd:restriction base="dms:Text">
          <xsd:maxLength value="255"/>
        </xsd:restriction>
      </xsd:simpleType>
    </xsd:element>
    <xsd:element name="NR_x002e_UM" ma:index="15" nillable="true" ma:displayName="NR.UM" ma:format="Dropdown" ma:internalName="NR_x002e_UM">
      <xsd:simpleType>
        <xsd:restriction base="dms:Text">
          <xsd:maxLength value="255"/>
        </xsd:restriction>
      </xsd:simpleType>
    </xsd:element>
    <xsd:element name="NETTO" ma:index="16" nillable="true" ma:displayName="NETTO" ma:format="Dropdown" ma:internalName="NETTO">
      <xsd:simpleType>
        <xsd:restriction base="dms:Text">
          <xsd:maxLength value="255"/>
        </xsd:restriction>
      </xsd:simpleType>
    </xsd:element>
    <xsd:element name="NETTO_x002e_SL" ma:index="17" nillable="true" ma:displayName="NETTO.SL" ma:format="Dropdown" ma:internalName="NETTO_x002e_SL">
      <xsd:simpleType>
        <xsd:restriction base="dms:Text">
          <xsd:maxLength value="255"/>
        </xsd:restriction>
      </xsd:simpleType>
    </xsd:element>
    <xsd:element name="BRUTTO" ma:index="18" nillable="true" ma:displayName="BRUTTO" ma:format="Dropdown" ma:internalName="BRUTTO">
      <xsd:simpleType>
        <xsd:restriction base="dms:Text">
          <xsd:maxLength value="255"/>
        </xsd:restriction>
      </xsd:simpleType>
    </xsd:element>
    <xsd:element name="BRUTTO_x002e_SL" ma:index="19" nillable="true" ma:displayName="BRUTTO.SL" ma:format="Dropdown" ma:internalName="BRUTTO_x002e_SL">
      <xsd:simpleType>
        <xsd:restriction base="dms:Text">
          <xsd:maxLength value="255"/>
        </xsd:restriction>
      </xsd:simpleType>
    </xsd:element>
    <xsd:element name="DZ" ma:index="20" nillable="true" ma:displayName="DZ" ma:format="Dropdown" ma:internalName="DZ">
      <xsd:simpleType>
        <xsd:restriction base="dms:Text">
          <xsd:maxLength value="255"/>
        </xsd:restriction>
      </xsd:simpleType>
    </xsd:element>
    <xsd:element name="DANE_x002e_WYK" ma:index="21" nillable="true" ma:displayName="DANE.WYK" ma:format="Dropdown" ma:internalName="DANE_x002e_WYK">
      <xsd:simpleType>
        <xsd:restriction base="dms:Text">
          <xsd:maxLength value="255"/>
        </xsd:restriction>
      </xsd:simpleType>
    </xsd:element>
    <xsd:element name="Tabela" ma:index="24" nillable="true" ma:displayName="Tabela" ma:format="Dropdown" ma:internalName="Tabela">
      <xsd:simpleType>
        <xsd:restriction base="dms:Note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3c7b-c6b4-4198-8117-dbd0ece2577a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fec6e98c-42df-41bf-b0be-3f1cb1538785}" ma:internalName="TaxCatchAll" ma:showField="CatchAllData" ma:web="25403c7b-c6b4-4198-8117-dbd0ece25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_x002e_DOK xmlns="84141fab-40ef-492f-9a5e-7c422361107c">2024-10-16T14:42:16Z</DATA_x002e_DOK>
    <Tabela xmlns="84141fab-40ef-492f-9a5e-7c422361107c" xsi:nil="true"/>
    <BRUTTO xmlns="84141fab-40ef-492f-9a5e-7c422361107c" xsi:nil="true"/>
    <NETTO_x002e_SL xmlns="84141fab-40ef-492f-9a5e-7c422361107c" xsi:nil="true"/>
    <NETTO xmlns="84141fab-40ef-492f-9a5e-7c422361107c" xsi:nil="true"/>
    <BRUTTO_x002e_SL xmlns="84141fab-40ef-492f-9a5e-7c422361107c" xsi:nil="true"/>
    <lcf76f155ced4ddcb4097134ff3c332f xmlns="84141fab-40ef-492f-9a5e-7c422361107c">
      <Terms xmlns="http://schemas.microsoft.com/office/infopath/2007/PartnerControls"/>
    </lcf76f155ced4ddcb4097134ff3c332f>
    <DZ xmlns="84141fab-40ef-492f-9a5e-7c422361107c" xsi:nil="true"/>
    <NR_x002e_ZAM xmlns="84141fab-40ef-492f-9a5e-7c422361107c" xsi:nil="true"/>
    <NR_x002e_UM xmlns="84141fab-40ef-492f-9a5e-7c422361107c" xsi:nil="true"/>
    <DANE_x002e_WYK xmlns="84141fab-40ef-492f-9a5e-7c422361107c" xsi:nil="true"/>
    <TaxCatchAll xmlns="25403c7b-c6b4-4198-8117-dbd0ece2577a" xsi:nil="true"/>
    <DATA_x002e_UM xmlns="84141fab-40ef-492f-9a5e-7c422361107c" xsi:nil="true"/>
  </documentManagement>
</p:properties>
</file>

<file path=customXml/itemProps1.xml><?xml version="1.0" encoding="utf-8"?>
<ds:datastoreItem xmlns:ds="http://schemas.openxmlformats.org/officeDocument/2006/customXml" ds:itemID="{66A2E6AB-EAD2-4B92-A79B-A9DD3EA6FC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F9CE38-9196-4C70-B5E2-5F350438A848}"/>
</file>

<file path=customXml/itemProps3.xml><?xml version="1.0" encoding="utf-8"?>
<ds:datastoreItem xmlns:ds="http://schemas.openxmlformats.org/officeDocument/2006/customXml" ds:itemID="{159EB018-94C7-4A7B-B7A3-336F0BCEFA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02FE7B-0F34-4779-8CDE-893C06BF30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1774</Words>
  <Characters>10644</Characters>
  <Application>Microsoft Office Word</Application>
  <DocSecurity>0</DocSecurity>
  <Lines>88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WCB EIT+</Company>
  <LinksUpToDate>false</LinksUpToDate>
  <CharactersWithSpaces>12394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Monika Olszewska | Łukasiewicz – PORT</cp:lastModifiedBy>
  <cp:revision>8</cp:revision>
  <cp:lastPrinted>2022-01-21T10:51:00Z</cp:lastPrinted>
  <dcterms:created xsi:type="dcterms:W3CDTF">2024-09-30T11:18:00Z</dcterms:created>
  <dcterms:modified xsi:type="dcterms:W3CDTF">2024-10-25T08:15:00Z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0x0101001780E947CFC99046ACF97E94117BF123</vt:lpwstr>
  </property>
</Properties>
</file>