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A4D4" w14:textId="21DE9B64" w:rsidR="00EB7D11" w:rsidRDefault="00EB7D11" w:rsidP="00EB7D11">
      <w:pPr>
        <w:keepNext/>
        <w:widowControl w:val="0"/>
        <w:suppressAutoHyphens/>
        <w:autoSpaceDN w:val="0"/>
        <w:spacing w:after="0" w:line="240" w:lineRule="auto"/>
        <w:jc w:val="right"/>
        <w:outlineLvl w:val="1"/>
        <w:rPr>
          <w:rFonts w:ascii="Calibri" w:eastAsia="Andale Sans UI" w:hAnsi="Calibri" w:cs="Tahoma"/>
          <w:kern w:val="3"/>
          <w:sz w:val="24"/>
          <w:szCs w:val="24"/>
        </w:rPr>
      </w:pPr>
      <w:bookmarkStart w:id="0" w:name="_Hlk154747518"/>
      <w:r w:rsidRPr="00EB7D11">
        <w:rPr>
          <w:rFonts w:ascii="Calibri" w:eastAsia="Andale Sans UI" w:hAnsi="Calibri" w:cs="Tahoma"/>
          <w:kern w:val="3"/>
          <w:sz w:val="24"/>
          <w:szCs w:val="24"/>
        </w:rPr>
        <w:t>St</w:t>
      </w:r>
      <w:r>
        <w:rPr>
          <w:rFonts w:ascii="Calibri" w:eastAsia="Andale Sans UI" w:hAnsi="Calibri" w:cs="Tahoma"/>
          <w:kern w:val="3"/>
          <w:sz w:val="24"/>
          <w:szCs w:val="24"/>
        </w:rPr>
        <w:t>a</w:t>
      </w:r>
      <w:r w:rsidRPr="00EB7D11">
        <w:rPr>
          <w:rFonts w:ascii="Calibri" w:eastAsia="Andale Sans UI" w:hAnsi="Calibri" w:cs="Tahoma"/>
          <w:kern w:val="3"/>
          <w:sz w:val="24"/>
          <w:szCs w:val="24"/>
        </w:rPr>
        <w:t xml:space="preserve">rachowice dn. </w:t>
      </w:r>
      <w:r w:rsidR="00942239">
        <w:rPr>
          <w:rFonts w:ascii="Calibri" w:eastAsia="Andale Sans UI" w:hAnsi="Calibri" w:cs="Tahoma"/>
          <w:kern w:val="3"/>
          <w:sz w:val="24"/>
          <w:szCs w:val="24"/>
        </w:rPr>
        <w:t>20</w:t>
      </w:r>
      <w:r w:rsidRPr="00EB7D11">
        <w:rPr>
          <w:rFonts w:ascii="Calibri" w:eastAsia="Andale Sans UI" w:hAnsi="Calibri" w:cs="Tahoma"/>
          <w:kern w:val="3"/>
          <w:sz w:val="24"/>
          <w:szCs w:val="24"/>
        </w:rPr>
        <w:t>.</w:t>
      </w:r>
      <w:r w:rsidR="00F0000D">
        <w:rPr>
          <w:rFonts w:ascii="Calibri" w:eastAsia="Andale Sans UI" w:hAnsi="Calibri" w:cs="Tahoma"/>
          <w:kern w:val="3"/>
          <w:sz w:val="24"/>
          <w:szCs w:val="24"/>
        </w:rPr>
        <w:t>0</w:t>
      </w:r>
      <w:r w:rsidR="00825F11">
        <w:rPr>
          <w:rFonts w:ascii="Calibri" w:eastAsia="Andale Sans UI" w:hAnsi="Calibri" w:cs="Tahoma"/>
          <w:kern w:val="3"/>
          <w:sz w:val="24"/>
          <w:szCs w:val="24"/>
        </w:rPr>
        <w:t>2</w:t>
      </w:r>
      <w:r w:rsidRPr="00EB7D11">
        <w:rPr>
          <w:rFonts w:ascii="Calibri" w:eastAsia="Andale Sans UI" w:hAnsi="Calibri" w:cs="Tahoma"/>
          <w:kern w:val="3"/>
          <w:sz w:val="24"/>
          <w:szCs w:val="24"/>
        </w:rPr>
        <w:t>.202</w:t>
      </w:r>
      <w:r w:rsidR="00470F35">
        <w:rPr>
          <w:rFonts w:ascii="Calibri" w:eastAsia="Andale Sans UI" w:hAnsi="Calibri" w:cs="Tahoma"/>
          <w:kern w:val="3"/>
          <w:sz w:val="24"/>
          <w:szCs w:val="24"/>
        </w:rPr>
        <w:t>4</w:t>
      </w:r>
      <w:r w:rsidRPr="00EB7D11">
        <w:rPr>
          <w:rFonts w:ascii="Calibri" w:eastAsia="Andale Sans UI" w:hAnsi="Calibri" w:cs="Tahoma"/>
          <w:kern w:val="3"/>
          <w:sz w:val="24"/>
          <w:szCs w:val="24"/>
        </w:rPr>
        <w:t xml:space="preserve"> r. </w:t>
      </w:r>
    </w:p>
    <w:p w14:paraId="4A30213F" w14:textId="77777777" w:rsidR="00EB7D11" w:rsidRPr="00EB7D11" w:rsidRDefault="00EB7D11" w:rsidP="00EB7D11">
      <w:pPr>
        <w:keepNext/>
        <w:widowControl w:val="0"/>
        <w:suppressAutoHyphens/>
        <w:autoSpaceDN w:val="0"/>
        <w:spacing w:after="0" w:line="240" w:lineRule="auto"/>
        <w:jc w:val="right"/>
        <w:outlineLvl w:val="1"/>
        <w:rPr>
          <w:rFonts w:ascii="Calibri" w:eastAsia="Andale Sans UI" w:hAnsi="Calibri" w:cs="Tahoma"/>
          <w:kern w:val="3"/>
          <w:sz w:val="24"/>
          <w:szCs w:val="24"/>
        </w:rPr>
      </w:pPr>
    </w:p>
    <w:p w14:paraId="33784BA0" w14:textId="77777777" w:rsidR="00E23155" w:rsidRPr="00DC48E2" w:rsidRDefault="00E23155" w:rsidP="00E23155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Calibri" w:eastAsia="Andale Sans UI" w:hAnsi="Calibri" w:cs="Tahoma"/>
          <w:b/>
          <w:bCs/>
          <w:kern w:val="3"/>
          <w:sz w:val="24"/>
          <w:szCs w:val="24"/>
          <w:u w:val="single"/>
        </w:rPr>
      </w:pPr>
      <w:r w:rsidRPr="00DC48E2">
        <w:rPr>
          <w:rFonts w:ascii="Calibri" w:eastAsia="Andale Sans UI" w:hAnsi="Calibri" w:cs="Tahoma"/>
          <w:b/>
          <w:bCs/>
          <w:kern w:val="3"/>
          <w:sz w:val="24"/>
          <w:szCs w:val="24"/>
          <w:u w:val="single"/>
        </w:rPr>
        <w:t>SZACOWANIE WARTOŚCI ZAMÓWIENIA</w:t>
      </w:r>
    </w:p>
    <w:p w14:paraId="6CD12F41" w14:textId="77777777" w:rsidR="005F634A" w:rsidRDefault="005F634A" w:rsidP="00E23155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583017D" w14:textId="6E91E450" w:rsidR="00E215F9" w:rsidRDefault="00825F11" w:rsidP="00E215F9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 wykonanie i montaż tablic pamiątkowych i informacyjnych </w:t>
      </w:r>
    </w:p>
    <w:p w14:paraId="28F9F585" w14:textId="19DD2FE4" w:rsidR="00E23155" w:rsidRPr="00E215F9" w:rsidRDefault="00E23155" w:rsidP="00E215F9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F634A">
        <w:rPr>
          <w:rFonts w:ascii="Calibri" w:eastAsia="Calibri" w:hAnsi="Calibri" w:cs="Times New Roman"/>
          <w:sz w:val="24"/>
          <w:szCs w:val="24"/>
        </w:rPr>
        <w:br/>
      </w:r>
      <w:r w:rsidRPr="00DC48E2">
        <w:rPr>
          <w:rFonts w:ascii="Calibri" w:eastAsia="Times New Roman" w:hAnsi="Calibri" w:cs="Arial"/>
          <w:sz w:val="24"/>
        </w:rPr>
        <w:t>w ramach projektu „</w:t>
      </w:r>
      <w:r>
        <w:rPr>
          <w:rFonts w:ascii="Calibri" w:eastAsia="Times New Roman" w:hAnsi="Calibri" w:cs="Arial"/>
          <w:sz w:val="24"/>
        </w:rPr>
        <w:t>Kierunek Przyszłość – Starachowicki Program Rozwoju Lokalnego</w:t>
      </w:r>
      <w:r w:rsidRPr="00DC48E2">
        <w:rPr>
          <w:rFonts w:ascii="Calibri" w:eastAsia="Times New Roman" w:hAnsi="Calibri" w:cs="Arial"/>
          <w:sz w:val="24"/>
        </w:rPr>
        <w:t>” współfinansowanego ze środków</w:t>
      </w:r>
      <w:r>
        <w:rPr>
          <w:rFonts w:ascii="Calibri" w:eastAsia="Times New Roman" w:hAnsi="Calibri" w:cs="Arial"/>
          <w:sz w:val="24"/>
        </w:rPr>
        <w:t xml:space="preserve"> Norweskiego Mechanizmu Finansowego na lata 2014 – 2021 (85%)  oraz Budżetu Państwa (15%) z Programu Rozwój Lokalny.</w:t>
      </w:r>
    </w:p>
    <w:p w14:paraId="184CB23B" w14:textId="77777777" w:rsidR="00E23155" w:rsidRPr="00DC48E2" w:rsidRDefault="00E23155" w:rsidP="00E23155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Arial"/>
          <w:sz w:val="24"/>
        </w:rPr>
      </w:pPr>
    </w:p>
    <w:p w14:paraId="515E3CC7" w14:textId="77777777" w:rsidR="00E23155" w:rsidRDefault="00E23155" w:rsidP="00E23155">
      <w:pPr>
        <w:pStyle w:val="Akapitzlist"/>
        <w:numPr>
          <w:ilvl w:val="0"/>
          <w:numId w:val="13"/>
        </w:numPr>
        <w:spacing w:after="0"/>
        <w:rPr>
          <w:b/>
          <w:bCs/>
          <w:sz w:val="24"/>
          <w:szCs w:val="24"/>
          <w:u w:val="single"/>
        </w:rPr>
      </w:pPr>
      <w:r w:rsidRPr="00FE3B04">
        <w:rPr>
          <w:b/>
          <w:bCs/>
          <w:sz w:val="24"/>
          <w:szCs w:val="24"/>
          <w:u w:val="single"/>
        </w:rPr>
        <w:t>Podmiot ustalający wartość zamówienia:</w:t>
      </w:r>
    </w:p>
    <w:p w14:paraId="274E72BD" w14:textId="77777777" w:rsidR="00E23155" w:rsidRPr="00FE3B04" w:rsidRDefault="00E23155" w:rsidP="00E23155">
      <w:pPr>
        <w:pStyle w:val="Akapitzlist"/>
        <w:spacing w:after="0"/>
        <w:rPr>
          <w:b/>
          <w:bCs/>
          <w:sz w:val="24"/>
          <w:szCs w:val="24"/>
          <w:u w:val="single"/>
        </w:rPr>
      </w:pPr>
    </w:p>
    <w:p w14:paraId="07948B57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Gmina Starachowice</w:t>
      </w:r>
    </w:p>
    <w:p w14:paraId="68B23170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ul. Radomska 45</w:t>
      </w:r>
    </w:p>
    <w:p w14:paraId="171F95AB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Starachowice 27-200</w:t>
      </w:r>
    </w:p>
    <w:p w14:paraId="31BD7DE4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NIP: 664-19-09-150</w:t>
      </w:r>
    </w:p>
    <w:p w14:paraId="4D935338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REGON: 291009892</w:t>
      </w:r>
    </w:p>
    <w:p w14:paraId="27EC5872" w14:textId="77777777" w:rsidR="00E23155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tel.: 41-27-38-200</w:t>
      </w:r>
    </w:p>
    <w:p w14:paraId="3109E3BC" w14:textId="77777777" w:rsidR="00E23155" w:rsidRDefault="00E23155" w:rsidP="00E23155">
      <w:pPr>
        <w:pStyle w:val="Akapitzlist"/>
        <w:spacing w:after="0"/>
        <w:jc w:val="both"/>
        <w:rPr>
          <w:sz w:val="24"/>
          <w:szCs w:val="24"/>
        </w:rPr>
      </w:pPr>
    </w:p>
    <w:p w14:paraId="1586FE20" w14:textId="77777777" w:rsidR="00825F11" w:rsidRDefault="00825F11" w:rsidP="00825F11">
      <w:pPr>
        <w:pStyle w:val="Akapitzlist"/>
        <w:tabs>
          <w:tab w:val="left" w:pos="284"/>
        </w:tabs>
        <w:jc w:val="both"/>
        <w:rPr>
          <w:rFonts w:eastAsia="Times New Roman" w:cs="Tahoma"/>
          <w:bCs/>
          <w:lang w:eastAsia="pl-PL"/>
        </w:rPr>
      </w:pPr>
    </w:p>
    <w:p w14:paraId="0486E6D4" w14:textId="38CE5C3E" w:rsidR="00F96B93" w:rsidRPr="00825F11" w:rsidRDefault="00E23155" w:rsidP="00F96B93">
      <w:pPr>
        <w:pStyle w:val="Akapitzlist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2B2A29"/>
          <w:sz w:val="24"/>
          <w:szCs w:val="24"/>
          <w:u w:val="single"/>
          <w:lang w:eastAsia="pl-PL"/>
        </w:rPr>
      </w:pPr>
      <w:r w:rsidRPr="00825F11">
        <w:rPr>
          <w:rFonts w:eastAsia="Times New Roman" w:cs="Arial"/>
          <w:b/>
          <w:bCs/>
          <w:color w:val="2B2A29"/>
          <w:sz w:val="24"/>
          <w:szCs w:val="24"/>
          <w:u w:val="single"/>
          <w:lang w:eastAsia="pl-PL"/>
        </w:rPr>
        <w:t xml:space="preserve">Zakres </w:t>
      </w:r>
      <w:r w:rsidR="00F96B93" w:rsidRPr="00825F11">
        <w:rPr>
          <w:rFonts w:eastAsia="Times New Roman" w:cs="Arial"/>
          <w:b/>
          <w:bCs/>
          <w:color w:val="2B2A29"/>
          <w:sz w:val="24"/>
          <w:szCs w:val="24"/>
          <w:u w:val="single"/>
          <w:lang w:eastAsia="pl-PL"/>
        </w:rPr>
        <w:t>szacowania wartości zamówienia</w:t>
      </w:r>
    </w:p>
    <w:p w14:paraId="797D9763" w14:textId="77777777" w:rsidR="00F96B93" w:rsidRDefault="00F96B93" w:rsidP="00F96B93">
      <w:pPr>
        <w:pStyle w:val="Akapitzlist"/>
        <w:spacing w:after="0"/>
        <w:jc w:val="both"/>
      </w:pPr>
    </w:p>
    <w:p w14:paraId="5F07653A" w14:textId="77777777" w:rsidR="00830A72" w:rsidRPr="00757618" w:rsidRDefault="00830A72" w:rsidP="00830A72">
      <w:pPr>
        <w:spacing w:line="276" w:lineRule="auto"/>
        <w:jc w:val="both"/>
        <w:rPr>
          <w:rFonts w:ascii="Calibri" w:hAnsi="Calibri" w:cs="Calibri"/>
        </w:rPr>
      </w:pPr>
      <w:r w:rsidRPr="00757618">
        <w:rPr>
          <w:rFonts w:ascii="Calibri" w:hAnsi="Calibri" w:cs="Calibri"/>
        </w:rPr>
        <w:t xml:space="preserve">Słownik CPV: </w:t>
      </w:r>
    </w:p>
    <w:p w14:paraId="39C35D54" w14:textId="77777777" w:rsidR="00830A72" w:rsidRPr="00757618" w:rsidRDefault="00830A72" w:rsidP="00830A72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757618">
        <w:rPr>
          <w:rFonts w:ascii="Calibri" w:eastAsia="Calibri" w:hAnsi="Calibri" w:cs="Calibri"/>
          <w:color w:val="000000"/>
        </w:rPr>
        <w:t>32510000-1 – Bezprzewodowy system telekomunikacyjny</w:t>
      </w:r>
    </w:p>
    <w:p w14:paraId="16E031A4" w14:textId="77777777" w:rsidR="00830A72" w:rsidRPr="00757618" w:rsidRDefault="00830A72" w:rsidP="00830A72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757618">
        <w:rPr>
          <w:rFonts w:ascii="Calibri" w:eastAsia="Calibri" w:hAnsi="Calibri" w:cs="Calibri"/>
          <w:color w:val="000000"/>
        </w:rPr>
        <w:t xml:space="preserve">32570000-9 - </w:t>
      </w:r>
      <w:r w:rsidRPr="00757618">
        <w:rPr>
          <w:rFonts w:ascii="Calibri" w:hAnsi="Calibri" w:cs="Calibri"/>
          <w:color w:val="2D2D2D"/>
          <w:shd w:val="clear" w:color="auto" w:fill="FFFFFF"/>
        </w:rPr>
        <w:t>Urządzenia łączności</w:t>
      </w:r>
    </w:p>
    <w:p w14:paraId="31DD170D" w14:textId="77777777" w:rsidR="00830A72" w:rsidRPr="00757618" w:rsidRDefault="00830A72" w:rsidP="00830A72">
      <w:pPr>
        <w:numPr>
          <w:ilvl w:val="0"/>
          <w:numId w:val="30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757618">
        <w:rPr>
          <w:rFonts w:ascii="Calibri" w:eastAsia="Calibri" w:hAnsi="Calibri" w:cs="Calibri"/>
          <w:color w:val="000000"/>
        </w:rPr>
        <w:t>32412110-8 – Sieć internetowa</w:t>
      </w:r>
    </w:p>
    <w:p w14:paraId="09CA2997" w14:textId="77777777" w:rsidR="00830A72" w:rsidRPr="00757618" w:rsidRDefault="00830A72" w:rsidP="00830A72">
      <w:pPr>
        <w:ind w:left="360"/>
        <w:rPr>
          <w:rFonts w:ascii="Calibri" w:eastAsia="Calibri" w:hAnsi="Calibri" w:cs="Calibri"/>
          <w:color w:val="000000"/>
        </w:rPr>
      </w:pPr>
    </w:p>
    <w:p w14:paraId="2BAA2D7E" w14:textId="77777777" w:rsidR="00830A72" w:rsidRPr="00757618" w:rsidRDefault="00830A72" w:rsidP="00830A72">
      <w:pPr>
        <w:ind w:left="360"/>
        <w:rPr>
          <w:rFonts w:ascii="Calibri" w:eastAsia="Calibri" w:hAnsi="Calibri" w:cs="Calibri"/>
          <w:color w:val="000000"/>
        </w:rPr>
      </w:pPr>
    </w:p>
    <w:p w14:paraId="3AA017FC" w14:textId="77777777" w:rsidR="00830A72" w:rsidRPr="00757618" w:rsidRDefault="00830A72" w:rsidP="00830A72">
      <w:pPr>
        <w:pStyle w:val="Standard"/>
        <w:pageBreakBefore/>
        <w:rPr>
          <w:rFonts w:ascii="Calibri" w:hAnsi="Calibri" w:cs="Calibri"/>
        </w:rPr>
      </w:pPr>
    </w:p>
    <w:p w14:paraId="2AC4F6E4" w14:textId="77777777" w:rsidR="00830A72" w:rsidRPr="00757618" w:rsidRDefault="00830A72" w:rsidP="00830A7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="Calibri"/>
          <w:b/>
          <w:bCs/>
          <w:sz w:val="24"/>
          <w:szCs w:val="28"/>
        </w:rPr>
      </w:pPr>
      <w:r w:rsidRPr="00757618">
        <w:rPr>
          <w:rFonts w:cs="Calibri"/>
          <w:b/>
          <w:bCs/>
          <w:sz w:val="24"/>
          <w:szCs w:val="28"/>
        </w:rPr>
        <w:t>Opis zadania</w:t>
      </w:r>
    </w:p>
    <w:p w14:paraId="61404239" w14:textId="77777777" w:rsidR="00830A72" w:rsidRPr="00757618" w:rsidRDefault="00830A72" w:rsidP="00830A72">
      <w:pPr>
        <w:spacing w:line="360" w:lineRule="auto"/>
        <w:ind w:left="720"/>
        <w:jc w:val="both"/>
        <w:rPr>
          <w:rFonts w:ascii="Calibri" w:hAnsi="Calibri" w:cs="Calibri"/>
        </w:rPr>
      </w:pPr>
      <w:r w:rsidRPr="00757618">
        <w:rPr>
          <w:rFonts w:ascii="Calibri" w:hAnsi="Calibri" w:cs="Calibri"/>
        </w:rPr>
        <w:t xml:space="preserve">Gmina Starachowice planuje montaż i zakup w „Centrum Kreatywności Pałacyk“, </w:t>
      </w:r>
      <w:r>
        <w:rPr>
          <w:rFonts w:ascii="Calibri" w:hAnsi="Calibri" w:cs="Calibri"/>
        </w:rPr>
        <w:t>pięciu</w:t>
      </w:r>
      <w:r w:rsidRPr="00757618">
        <w:rPr>
          <w:rFonts w:ascii="Calibri" w:hAnsi="Calibri" w:cs="Calibri"/>
        </w:rPr>
        <w:t xml:space="preserve"> punktów dostępowych </w:t>
      </w:r>
      <w:proofErr w:type="spellStart"/>
      <w:r w:rsidRPr="00757618">
        <w:rPr>
          <w:rFonts w:ascii="Calibri" w:hAnsi="Calibri" w:cs="Calibri"/>
        </w:rPr>
        <w:t>access</w:t>
      </w:r>
      <w:proofErr w:type="spellEnd"/>
      <w:r w:rsidRPr="00757618">
        <w:rPr>
          <w:rFonts w:ascii="Calibri" w:hAnsi="Calibri" w:cs="Calibri"/>
        </w:rPr>
        <w:t xml:space="preserve"> point, sześć urządzeń typu </w:t>
      </w:r>
      <w:proofErr w:type="spellStart"/>
      <w:r w:rsidRPr="00757618">
        <w:rPr>
          <w:rFonts w:ascii="Calibri" w:hAnsi="Calibri" w:cs="Calibri"/>
        </w:rPr>
        <w:t>switch</w:t>
      </w:r>
      <w:proofErr w:type="spellEnd"/>
      <w:r w:rsidRPr="00757618">
        <w:rPr>
          <w:rFonts w:ascii="Calibri" w:hAnsi="Calibri" w:cs="Calibri"/>
        </w:rPr>
        <w:t xml:space="preserve">, a także dwa zasilacze awaryjne UPS wraz </w:t>
      </w:r>
      <w:r w:rsidRPr="00757618">
        <w:rPr>
          <w:rFonts w:ascii="Calibri" w:hAnsi="Calibri" w:cs="Calibri"/>
        </w:rPr>
        <w:br/>
        <w:t>z okablowaniem oraz konfiguracją i wsparciem techniczno-serwisowym, które umożliwią dostęp do szerokopasmowego Internetu.</w:t>
      </w:r>
    </w:p>
    <w:p w14:paraId="793963CA" w14:textId="77777777" w:rsidR="00830A72" w:rsidRPr="00757618" w:rsidRDefault="00830A72" w:rsidP="00830A72">
      <w:pPr>
        <w:spacing w:line="360" w:lineRule="auto"/>
        <w:ind w:left="720"/>
        <w:jc w:val="both"/>
        <w:rPr>
          <w:rFonts w:ascii="Calibri" w:hAnsi="Calibri" w:cs="Calibri"/>
          <w:b/>
          <w:bCs/>
        </w:rPr>
      </w:pPr>
    </w:p>
    <w:p w14:paraId="29B6297B" w14:textId="77777777" w:rsidR="00830A72" w:rsidRPr="00757618" w:rsidRDefault="00830A72" w:rsidP="00830A72">
      <w:pPr>
        <w:pStyle w:val="Standard"/>
        <w:numPr>
          <w:ilvl w:val="0"/>
          <w:numId w:val="31"/>
        </w:numPr>
        <w:autoSpaceDN/>
        <w:spacing w:line="360" w:lineRule="auto"/>
        <w:rPr>
          <w:rFonts w:ascii="Calibri" w:hAnsi="Calibri" w:cs="Calibri"/>
          <w:lang w:val="pl-PL"/>
        </w:rPr>
      </w:pPr>
      <w:r w:rsidRPr="00757618">
        <w:rPr>
          <w:rFonts w:ascii="Calibri" w:eastAsia="Times New Roman" w:hAnsi="Calibri" w:cs="Calibri"/>
          <w:b/>
          <w:bCs/>
          <w:lang w:val="pl-PL"/>
        </w:rPr>
        <w:t>Zamówienie obejmuje min. następujący zakres:</w:t>
      </w:r>
    </w:p>
    <w:p w14:paraId="4C621924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line="360" w:lineRule="auto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 xml:space="preserve">Punkty dostępu bezprzewodowego (WIFI)– </w:t>
      </w:r>
      <w:r>
        <w:rPr>
          <w:rFonts w:ascii="Calibri" w:hAnsi="Calibri" w:cs="Calibri"/>
          <w:lang w:val="pl-PL"/>
        </w:rPr>
        <w:t>5</w:t>
      </w:r>
      <w:r w:rsidRPr="00757618">
        <w:rPr>
          <w:rFonts w:ascii="Calibri" w:hAnsi="Calibri" w:cs="Calibri"/>
          <w:lang w:val="pl-PL"/>
        </w:rPr>
        <w:t xml:space="preserve"> sztuk.</w:t>
      </w:r>
    </w:p>
    <w:p w14:paraId="6A6B6287" w14:textId="77777777" w:rsidR="00830A72" w:rsidRPr="00757618" w:rsidRDefault="00830A72" w:rsidP="00830A72">
      <w:pPr>
        <w:pStyle w:val="Standard"/>
        <w:numPr>
          <w:ilvl w:val="2"/>
          <w:numId w:val="31"/>
        </w:numPr>
        <w:autoSpaceDN/>
        <w:spacing w:line="360" w:lineRule="auto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>Punkty dostępowe do zastosowania wewnętrznego w ilości 5 sztuk muszą spełniać minimalne wymagania:</w:t>
      </w:r>
    </w:p>
    <w:p w14:paraId="34AFB6D3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Dwa moduły radiowe umożliwiające równoczesną pracę w pasmach 2.4 GHz oraz 5GHz.</w:t>
      </w:r>
    </w:p>
    <w:p w14:paraId="54059810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Standard szyfrowania WPA, WPA2, WPA 3.</w:t>
      </w:r>
    </w:p>
    <w:p w14:paraId="75A78EBA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Praca w standardzie WIFI 802.11a, 802.11b, 802.11g, 802.11n, 802.11ac, 802.11ax. </w:t>
      </w:r>
    </w:p>
    <w:p w14:paraId="381B6B82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Możliwość pracy w zakresie temperatur pomiędzy 0 a +40 stopni Celsjusza.</w:t>
      </w:r>
    </w:p>
    <w:p w14:paraId="0EF83079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Port Ethernet RJ45 ze wsparciem zasilania urządzenia za pomocą POE. </w:t>
      </w:r>
    </w:p>
    <w:p w14:paraId="6268480E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Wbudowana antena wewnętrzna. </w:t>
      </w:r>
    </w:p>
    <w:p w14:paraId="55A12078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Urządzenie musi umożliwiać pracę jako kontroler sieci WIFI.</w:t>
      </w:r>
    </w:p>
    <w:p w14:paraId="21677E34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Zamawiający wymaga wdrożenia systemu do zarzadzania logowaniem gości/użytkowników o funkcjonalności:</w:t>
      </w:r>
    </w:p>
    <w:p w14:paraId="1A6145DE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Zamawiający wymaga, aby kontroler sieci bezprzewodowej posiadał funkcję wysyłania logów na wskazany przez niego serwer.</w:t>
      </w:r>
    </w:p>
    <w:p w14:paraId="20C2193C" w14:textId="77777777" w:rsidR="00830A72" w:rsidRPr="00757618" w:rsidRDefault="00830A72" w:rsidP="00830A72">
      <w:pPr>
        <w:pStyle w:val="Standard"/>
        <w:numPr>
          <w:ilvl w:val="2"/>
          <w:numId w:val="31"/>
        </w:numPr>
        <w:autoSpaceDN/>
        <w:spacing w:line="360" w:lineRule="auto"/>
        <w:rPr>
          <w:rFonts w:ascii="Calibri" w:eastAsia="Calibri" w:hAnsi="Calibri" w:cs="Calibri"/>
          <w:lang w:val="pl-PL" w:eastAsia="en-US" w:bidi="ar-SA"/>
        </w:rPr>
      </w:pPr>
      <w:r w:rsidRPr="00757618">
        <w:rPr>
          <w:rFonts w:ascii="Calibri" w:eastAsia="Calibri" w:hAnsi="Calibri" w:cs="Calibri"/>
          <w:lang w:val="pl-PL" w:eastAsia="en-US" w:bidi="ar-SA"/>
        </w:rPr>
        <w:t xml:space="preserve">Zasilanie punktów należy wykonać poprzez technologie </w:t>
      </w:r>
      <w:proofErr w:type="spellStart"/>
      <w:r w:rsidRPr="00757618">
        <w:rPr>
          <w:rFonts w:ascii="Calibri" w:eastAsia="Calibri" w:hAnsi="Calibri" w:cs="Calibri"/>
          <w:lang w:val="pl-PL" w:eastAsia="en-US" w:bidi="ar-SA"/>
        </w:rPr>
        <w:t>PoE</w:t>
      </w:r>
      <w:proofErr w:type="spellEnd"/>
      <w:r w:rsidRPr="00757618">
        <w:rPr>
          <w:rFonts w:ascii="Calibri" w:eastAsia="Calibri" w:hAnsi="Calibri" w:cs="Calibri"/>
          <w:lang w:val="pl-PL" w:eastAsia="en-US" w:bidi="ar-SA"/>
        </w:rPr>
        <w:t>.</w:t>
      </w:r>
    </w:p>
    <w:p w14:paraId="514EE67E" w14:textId="77777777" w:rsidR="00830A72" w:rsidRPr="00ED5BBC" w:rsidRDefault="00830A72" w:rsidP="00830A72">
      <w:pPr>
        <w:pStyle w:val="Standard"/>
        <w:numPr>
          <w:ilvl w:val="1"/>
          <w:numId w:val="31"/>
        </w:numPr>
        <w:autoSpaceDN/>
        <w:spacing w:line="360" w:lineRule="auto"/>
        <w:rPr>
          <w:rFonts w:ascii="Calibri" w:eastAsia="Calibri" w:hAnsi="Calibri" w:cs="Calibri"/>
          <w:lang w:val="pl-PL" w:eastAsia="en-US" w:bidi="ar-SA"/>
        </w:rPr>
      </w:pPr>
      <w:r w:rsidRPr="00ED5BBC">
        <w:rPr>
          <w:rFonts w:ascii="Calibri" w:eastAsia="Calibri" w:hAnsi="Calibri" w:cs="Calibri"/>
          <w:lang w:val="pl-PL" w:eastAsia="en-US" w:bidi="ar-SA"/>
        </w:rPr>
        <w:t>Zamawiający wymaga zastosowania dedykowanych dla rozwiązania uchwytów montażowych punktów WIFI.</w:t>
      </w:r>
    </w:p>
    <w:p w14:paraId="5AED457D" w14:textId="77777777" w:rsidR="00830A72" w:rsidRPr="00314FC0" w:rsidRDefault="00830A72" w:rsidP="00830A72">
      <w:pPr>
        <w:pStyle w:val="Standard"/>
        <w:numPr>
          <w:ilvl w:val="1"/>
          <w:numId w:val="31"/>
        </w:numPr>
        <w:autoSpaceDN/>
        <w:spacing w:line="360" w:lineRule="auto"/>
        <w:rPr>
          <w:rFonts w:ascii="Calibri" w:eastAsia="Calibri" w:hAnsi="Calibri" w:cs="Calibri"/>
          <w:lang w:val="pl-PL" w:eastAsia="en-US" w:bidi="ar-SA"/>
        </w:rPr>
      </w:pPr>
      <w:r w:rsidRPr="00314FC0">
        <w:rPr>
          <w:rFonts w:ascii="Calibri" w:eastAsia="Calibri" w:hAnsi="Calibri" w:cs="Calibri"/>
          <w:lang w:val="pl-PL" w:eastAsia="en-US" w:bidi="ar-SA"/>
        </w:rPr>
        <w:t xml:space="preserve">Zamawiający wymaga  konfiguracji posiadanego kontrolera sieci WIFI VX 9000 z dostarczonymi punktami dostępu bezprzewodowego a w przypadku braku takiej możliwości zostanie wykorzystany jeden z punktów dostępowych jako kontroler sieci WIFI bądź rozwiązania chmurowego, w wariancie </w:t>
      </w:r>
      <w:proofErr w:type="spellStart"/>
      <w:r w:rsidRPr="00314FC0">
        <w:rPr>
          <w:rFonts w:ascii="Calibri" w:eastAsia="Calibri" w:hAnsi="Calibri" w:cs="Calibri"/>
          <w:lang w:val="pl-PL" w:eastAsia="en-US" w:bidi="ar-SA"/>
        </w:rPr>
        <w:t>bezkosztowym</w:t>
      </w:r>
      <w:proofErr w:type="spellEnd"/>
      <w:r w:rsidRPr="00314FC0">
        <w:rPr>
          <w:rFonts w:ascii="Calibri" w:eastAsia="Calibri" w:hAnsi="Calibri" w:cs="Calibri"/>
          <w:lang w:val="pl-PL" w:eastAsia="en-US" w:bidi="ar-SA"/>
        </w:rPr>
        <w:t xml:space="preserve">.  </w:t>
      </w:r>
    </w:p>
    <w:p w14:paraId="5B8FC4D2" w14:textId="77777777" w:rsidR="00830A72" w:rsidRDefault="00830A72" w:rsidP="00830A72">
      <w:pPr>
        <w:pStyle w:val="Standard"/>
        <w:numPr>
          <w:ilvl w:val="1"/>
          <w:numId w:val="31"/>
        </w:numPr>
        <w:autoSpaceDN/>
        <w:spacing w:line="360" w:lineRule="auto"/>
        <w:rPr>
          <w:rFonts w:ascii="Calibri" w:eastAsia="Calibri" w:hAnsi="Calibri" w:cs="Calibri"/>
          <w:lang w:val="pl-PL" w:eastAsia="en-US" w:bidi="ar-SA"/>
        </w:rPr>
      </w:pPr>
      <w:r w:rsidRPr="00ED5BBC">
        <w:rPr>
          <w:rFonts w:ascii="Calibri" w:eastAsia="Calibri" w:hAnsi="Calibri" w:cs="Calibri"/>
          <w:lang w:val="pl-PL" w:eastAsia="en-US" w:bidi="ar-SA"/>
        </w:rPr>
        <w:lastRenderedPageBreak/>
        <w:t xml:space="preserve">Konfiguracja logiczna przełączników w zakresie wymagań zamawiającego (min. uruchomienie usług: VLAN, uruchomienie urządzeń  Wifi, uruchomienie usługi VOIP , konfiguracja bezpieczeństwa z </w:t>
      </w:r>
      <w:proofErr w:type="spellStart"/>
      <w:r w:rsidRPr="00ED5BBC">
        <w:rPr>
          <w:rFonts w:ascii="Calibri" w:eastAsia="Calibri" w:hAnsi="Calibri" w:cs="Calibri"/>
          <w:lang w:val="pl-PL" w:eastAsia="en-US" w:bidi="ar-SA"/>
        </w:rPr>
        <w:t>core</w:t>
      </w:r>
      <w:proofErr w:type="spellEnd"/>
      <w:r w:rsidRPr="00ED5BBC">
        <w:rPr>
          <w:rFonts w:ascii="Calibri" w:eastAsia="Calibri" w:hAnsi="Calibri" w:cs="Calibri"/>
          <w:lang w:val="pl-PL" w:eastAsia="en-US" w:bidi="ar-SA"/>
        </w:rPr>
        <w:t xml:space="preserve"> sieci Zamawiającego</w:t>
      </w:r>
      <w:r w:rsidRPr="00757618">
        <w:rPr>
          <w:rFonts w:ascii="Calibri" w:eastAsia="Calibri" w:hAnsi="Calibri" w:cs="Calibri"/>
          <w:lang w:val="pl-PL" w:eastAsia="en-US" w:bidi="ar-SA"/>
        </w:rPr>
        <w:t>).</w:t>
      </w:r>
    </w:p>
    <w:p w14:paraId="357E8228" w14:textId="77777777" w:rsidR="00830A72" w:rsidRDefault="00830A72" w:rsidP="00830A72">
      <w:pPr>
        <w:pStyle w:val="Standard"/>
        <w:numPr>
          <w:ilvl w:val="1"/>
          <w:numId w:val="31"/>
        </w:numPr>
        <w:autoSpaceDN/>
        <w:spacing w:line="360" w:lineRule="auto"/>
        <w:rPr>
          <w:rFonts w:ascii="Calibri" w:eastAsia="Calibri" w:hAnsi="Calibri" w:cs="Calibri"/>
          <w:lang w:val="pl-PL" w:eastAsia="en-US" w:bidi="ar-SA"/>
        </w:rPr>
      </w:pPr>
      <w:r w:rsidRPr="00BF0832">
        <w:rPr>
          <w:rFonts w:ascii="Calibri" w:eastAsia="Calibri" w:hAnsi="Calibri" w:cs="Calibri"/>
          <w:lang w:val="pl-PL" w:eastAsia="en-US" w:bidi="ar-SA"/>
        </w:rPr>
        <w:t xml:space="preserve">Zamawiający wymaga skonfigurowania do 6 </w:t>
      </w:r>
      <w:proofErr w:type="spellStart"/>
      <w:r w:rsidRPr="00BF0832">
        <w:rPr>
          <w:rFonts w:ascii="Calibri" w:eastAsia="Calibri" w:hAnsi="Calibri" w:cs="Calibri"/>
          <w:lang w:val="pl-PL" w:eastAsia="en-US" w:bidi="ar-SA"/>
        </w:rPr>
        <w:t>VLANów</w:t>
      </w:r>
      <w:proofErr w:type="spellEnd"/>
      <w:r w:rsidRPr="00BF0832">
        <w:rPr>
          <w:rFonts w:ascii="Calibri" w:eastAsia="Calibri" w:hAnsi="Calibri" w:cs="Calibri"/>
          <w:lang w:val="pl-PL" w:eastAsia="en-US" w:bidi="ar-SA"/>
        </w:rPr>
        <w:t xml:space="preserve"> ,  cel i przeznaczenie  </w:t>
      </w:r>
      <w:proofErr w:type="spellStart"/>
      <w:r w:rsidRPr="00BF0832">
        <w:rPr>
          <w:rFonts w:ascii="Calibri" w:eastAsia="Calibri" w:hAnsi="Calibri" w:cs="Calibri"/>
          <w:lang w:val="pl-PL" w:eastAsia="en-US" w:bidi="ar-SA"/>
        </w:rPr>
        <w:t>VLANów</w:t>
      </w:r>
      <w:proofErr w:type="spellEnd"/>
      <w:r w:rsidRPr="00BF0832">
        <w:rPr>
          <w:rFonts w:ascii="Calibri" w:eastAsia="Calibri" w:hAnsi="Calibri" w:cs="Calibri"/>
          <w:lang w:val="pl-PL" w:eastAsia="en-US" w:bidi="ar-SA"/>
        </w:rPr>
        <w:t xml:space="preserve"> zostanie podane po podpisaniu umowy.</w:t>
      </w:r>
    </w:p>
    <w:p w14:paraId="51541883" w14:textId="77777777" w:rsidR="00830A72" w:rsidRDefault="00830A72" w:rsidP="00830A72">
      <w:pPr>
        <w:pStyle w:val="Standard"/>
        <w:numPr>
          <w:ilvl w:val="1"/>
          <w:numId w:val="31"/>
        </w:numPr>
        <w:autoSpaceDN/>
        <w:spacing w:line="360" w:lineRule="auto"/>
        <w:rPr>
          <w:rFonts w:ascii="Calibri" w:eastAsia="Calibri" w:hAnsi="Calibri" w:cs="Calibri"/>
          <w:lang w:val="pl-PL" w:eastAsia="en-US" w:bidi="ar-SA"/>
        </w:rPr>
      </w:pPr>
      <w:r w:rsidRPr="00537ADA">
        <w:rPr>
          <w:rFonts w:ascii="Calibri" w:eastAsia="Calibri" w:hAnsi="Calibri" w:cs="Calibri"/>
          <w:lang w:val="pl-PL" w:eastAsia="en-US" w:bidi="ar-SA"/>
        </w:rPr>
        <w:t xml:space="preserve">Wykonawca wdroży polityki bezpieczeństwa dla każdego </w:t>
      </w:r>
      <w:proofErr w:type="spellStart"/>
      <w:r w:rsidRPr="00537ADA">
        <w:rPr>
          <w:rFonts w:ascii="Calibri" w:eastAsia="Calibri" w:hAnsi="Calibri" w:cs="Calibri"/>
          <w:lang w:val="pl-PL" w:eastAsia="en-US" w:bidi="ar-SA"/>
        </w:rPr>
        <w:t>VLANu</w:t>
      </w:r>
      <w:proofErr w:type="spellEnd"/>
      <w:r>
        <w:rPr>
          <w:rFonts w:ascii="Calibri" w:eastAsia="Calibri" w:hAnsi="Calibri" w:cs="Calibri"/>
          <w:lang w:val="pl-PL" w:eastAsia="en-US" w:bidi="ar-SA"/>
        </w:rPr>
        <w:t>,</w:t>
      </w:r>
      <w:r w:rsidRPr="00537ADA">
        <w:rPr>
          <w:rFonts w:ascii="Calibri" w:eastAsia="Calibri" w:hAnsi="Calibri" w:cs="Calibri"/>
          <w:lang w:val="pl-PL" w:eastAsia="en-US" w:bidi="ar-SA"/>
        </w:rPr>
        <w:t xml:space="preserve">  zestaw podstawowych polityk bezpieczeństwa które pomogą zwiększyć odporność organizacji na różnego rodzaju zagrożenia sieciowe.  Zamawiający szczegółowo określi te polityki na etapie realizacji przedmiotu zamówienia.</w:t>
      </w:r>
    </w:p>
    <w:p w14:paraId="223D4D95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line="360" w:lineRule="auto"/>
        <w:rPr>
          <w:rFonts w:ascii="Calibri" w:eastAsia="Calibri" w:hAnsi="Calibri" w:cs="Calibri"/>
          <w:lang w:val="pl-PL" w:eastAsia="en-US" w:bidi="ar-SA"/>
        </w:rPr>
      </w:pPr>
      <w:r w:rsidRPr="00537ADA">
        <w:rPr>
          <w:rFonts w:ascii="Calibri" w:eastAsia="Calibri" w:hAnsi="Calibri" w:cs="Calibri"/>
          <w:lang w:val="pl-PL" w:eastAsia="en-US" w:bidi="ar-SA"/>
        </w:rPr>
        <w:t>Zamawiający będzie wymagał wdrożenia do 20 polityk  bezpieczeństwa.</w:t>
      </w:r>
    </w:p>
    <w:p w14:paraId="24D60780" w14:textId="77777777" w:rsidR="00830A72" w:rsidRPr="00757618" w:rsidRDefault="00830A72" w:rsidP="00830A7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757618">
        <w:rPr>
          <w:rFonts w:cs="Calibri"/>
          <w:sz w:val="24"/>
          <w:szCs w:val="24"/>
        </w:rPr>
        <w:t>Zarządzalny</w:t>
      </w:r>
      <w:proofErr w:type="spellEnd"/>
      <w:r w:rsidRPr="00757618">
        <w:rPr>
          <w:rFonts w:cs="Calibri"/>
          <w:sz w:val="24"/>
          <w:szCs w:val="24"/>
        </w:rPr>
        <w:t xml:space="preserve"> Switch </w:t>
      </w:r>
      <w:proofErr w:type="spellStart"/>
      <w:r w:rsidRPr="00757618">
        <w:rPr>
          <w:rFonts w:cs="Calibri"/>
          <w:sz w:val="24"/>
          <w:szCs w:val="24"/>
        </w:rPr>
        <w:t>PoE</w:t>
      </w:r>
      <w:proofErr w:type="spellEnd"/>
      <w:r w:rsidRPr="00757618">
        <w:rPr>
          <w:rFonts w:cs="Calibri"/>
          <w:sz w:val="24"/>
          <w:szCs w:val="24"/>
        </w:rPr>
        <w:t xml:space="preserve"> 19” – 6 sztuk.</w:t>
      </w:r>
    </w:p>
    <w:p w14:paraId="41EA8015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Obudowa do montażu w szafie RACK 19” – 1U wraz z zestawem montażowym. Długość przełącznika nie powinna być większa niż 46cm.</w:t>
      </w:r>
    </w:p>
    <w:p w14:paraId="5C408383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Porty:</w:t>
      </w:r>
    </w:p>
    <w:p w14:paraId="32022948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24 x fizycznych portów 1 Gigabit Ethernet 1000BASE-T (RJ45), </w:t>
      </w:r>
      <w:proofErr w:type="spellStart"/>
      <w:r w:rsidRPr="00757618">
        <w:rPr>
          <w:rFonts w:cs="Calibri"/>
          <w:sz w:val="24"/>
          <w:szCs w:val="24"/>
        </w:rPr>
        <w:t>PoE</w:t>
      </w:r>
      <w:proofErr w:type="spellEnd"/>
      <w:r w:rsidRPr="00757618">
        <w:rPr>
          <w:rFonts w:cs="Calibri"/>
          <w:sz w:val="24"/>
          <w:szCs w:val="24"/>
        </w:rPr>
        <w:t>+.</w:t>
      </w:r>
    </w:p>
    <w:p w14:paraId="17F69031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4 x fizyczne porty 10 Gigabit Ethernet SFP+.</w:t>
      </w:r>
    </w:p>
    <w:p w14:paraId="690663E4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1 x port zarządzania.</w:t>
      </w:r>
    </w:p>
    <w:p w14:paraId="35331598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Musi umożliwiać obsługę wszystkich portów </w:t>
      </w:r>
      <w:proofErr w:type="spellStart"/>
      <w:r w:rsidRPr="00757618">
        <w:rPr>
          <w:rFonts w:cs="Calibri"/>
          <w:sz w:val="24"/>
          <w:szCs w:val="24"/>
        </w:rPr>
        <w:t>line-rate</w:t>
      </w:r>
      <w:proofErr w:type="spellEnd"/>
      <w:r w:rsidRPr="00757618">
        <w:rPr>
          <w:rFonts w:cs="Calibri"/>
          <w:sz w:val="24"/>
          <w:szCs w:val="24"/>
        </w:rPr>
        <w:t>,</w:t>
      </w:r>
    </w:p>
    <w:p w14:paraId="03D0340D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Musi umożliwiać zestawienie stosu do min. 4 urządzeń.</w:t>
      </w:r>
    </w:p>
    <w:p w14:paraId="6569834E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Wydajność</w:t>
      </w:r>
    </w:p>
    <w:p w14:paraId="1BDF241A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Wydajność przełączania minimum 130Mpps.</w:t>
      </w:r>
    </w:p>
    <w:p w14:paraId="5A78A7F9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Przepustowość przełącznika minimum 170Gb/s.</w:t>
      </w:r>
    </w:p>
    <w:p w14:paraId="61D0F3F1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Obsługa minimum 16,000 adresów MAC.</w:t>
      </w:r>
    </w:p>
    <w:p w14:paraId="282B4164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Zasilanie 230V AC.</w:t>
      </w:r>
    </w:p>
    <w:p w14:paraId="1E784ED4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Funkcje i protokoły.</w:t>
      </w:r>
    </w:p>
    <w:p w14:paraId="0874E905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Wsparcie dla protokołów IEEE 802.1w </w:t>
      </w:r>
      <w:proofErr w:type="spellStart"/>
      <w:r w:rsidRPr="00757618">
        <w:rPr>
          <w:rFonts w:cs="Calibri"/>
          <w:sz w:val="24"/>
          <w:szCs w:val="24"/>
        </w:rPr>
        <w:t>Rapid</w:t>
      </w:r>
      <w:proofErr w:type="spellEnd"/>
      <w:r w:rsidRPr="00757618">
        <w:rPr>
          <w:rFonts w:cs="Calibri"/>
          <w:sz w:val="24"/>
          <w:szCs w:val="24"/>
        </w:rPr>
        <w:t xml:space="preserve"> </w:t>
      </w:r>
      <w:proofErr w:type="spellStart"/>
      <w:r w:rsidRPr="00757618">
        <w:rPr>
          <w:rFonts w:cs="Calibri"/>
          <w:sz w:val="24"/>
          <w:szCs w:val="24"/>
        </w:rPr>
        <w:t>Spanning</w:t>
      </w:r>
      <w:proofErr w:type="spellEnd"/>
      <w:r w:rsidRPr="00757618">
        <w:rPr>
          <w:rFonts w:cs="Calibri"/>
          <w:sz w:val="24"/>
          <w:szCs w:val="24"/>
        </w:rPr>
        <w:t xml:space="preserve"> </w:t>
      </w:r>
      <w:proofErr w:type="spellStart"/>
      <w:r w:rsidRPr="00757618">
        <w:rPr>
          <w:rFonts w:cs="Calibri"/>
          <w:sz w:val="24"/>
          <w:szCs w:val="24"/>
        </w:rPr>
        <w:t>Tree</w:t>
      </w:r>
      <w:proofErr w:type="spellEnd"/>
      <w:r w:rsidRPr="00757618">
        <w:rPr>
          <w:rFonts w:cs="Calibri"/>
          <w:sz w:val="24"/>
          <w:szCs w:val="24"/>
        </w:rPr>
        <w:t xml:space="preserve"> oraz IEEE 802.1s Multi-</w:t>
      </w:r>
      <w:proofErr w:type="spellStart"/>
      <w:r w:rsidRPr="00757618">
        <w:rPr>
          <w:rFonts w:cs="Calibri"/>
          <w:sz w:val="24"/>
          <w:szCs w:val="24"/>
        </w:rPr>
        <w:t>Instance</w:t>
      </w:r>
      <w:proofErr w:type="spellEnd"/>
      <w:r w:rsidRPr="00757618">
        <w:rPr>
          <w:rFonts w:cs="Calibri"/>
          <w:sz w:val="24"/>
          <w:szCs w:val="24"/>
        </w:rPr>
        <w:t xml:space="preserve"> </w:t>
      </w:r>
      <w:proofErr w:type="spellStart"/>
      <w:r w:rsidRPr="00757618">
        <w:rPr>
          <w:rFonts w:cs="Calibri"/>
          <w:sz w:val="24"/>
          <w:szCs w:val="24"/>
        </w:rPr>
        <w:t>Spanning</w:t>
      </w:r>
      <w:proofErr w:type="spellEnd"/>
      <w:r w:rsidRPr="00757618">
        <w:rPr>
          <w:rFonts w:cs="Calibri"/>
          <w:sz w:val="24"/>
          <w:szCs w:val="24"/>
        </w:rPr>
        <w:t xml:space="preserve"> </w:t>
      </w:r>
      <w:proofErr w:type="spellStart"/>
      <w:r w:rsidRPr="00757618">
        <w:rPr>
          <w:rFonts w:cs="Calibri"/>
          <w:sz w:val="24"/>
          <w:szCs w:val="24"/>
        </w:rPr>
        <w:t>Tree</w:t>
      </w:r>
      <w:proofErr w:type="spellEnd"/>
      <w:r w:rsidRPr="00757618">
        <w:rPr>
          <w:rFonts w:cs="Calibri"/>
          <w:sz w:val="24"/>
          <w:szCs w:val="24"/>
        </w:rPr>
        <w:t>.</w:t>
      </w:r>
    </w:p>
    <w:p w14:paraId="081C1BAB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Urządzenie musi umożliwiać obsługę ramek jumbo o wielkości min. 9000 bajtów.</w:t>
      </w:r>
    </w:p>
    <w:p w14:paraId="395E2119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Urządzenie musi obsługiwać protokoły SNMPv1/2c, TACACS, RADIUS, SSH, NTP.</w:t>
      </w:r>
    </w:p>
    <w:p w14:paraId="6B289BD7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Urządzenie musi obsługiwać protokoły LLDP, LLDP-MED.</w:t>
      </w:r>
    </w:p>
    <w:p w14:paraId="0FEF6631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lastRenderedPageBreak/>
        <w:t>Autoryzacja użytkowników w oparciu o IEEE 802.1X z możliwością dynamicznego przypisania użytkownika do określonej sieci VLAN.</w:t>
      </w:r>
    </w:p>
    <w:p w14:paraId="6E302C9B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Możliwość uwierzytelniania urządzeń na porcie w oparciu o adres MAC.</w:t>
      </w:r>
    </w:p>
    <w:p w14:paraId="492C2919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Możliwość implementacji listy kontroli dostępu (ACL) na poziomie co najmniej warstwy 2.</w:t>
      </w:r>
    </w:p>
    <w:p w14:paraId="3E318869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Musi posiadać możliwość skonfigurowania interfejsów logicznych zgodnymi ze standardem 802.3ad (LACP).</w:t>
      </w:r>
    </w:p>
    <w:p w14:paraId="0D4B064E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Możliwość monitorowania ruchu na porcie (Port Mirroring).</w:t>
      </w:r>
    </w:p>
    <w:p w14:paraId="123D8FDE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Co najmniej 3 poziomy dostępu administracyjnego przez konsole.</w:t>
      </w:r>
    </w:p>
    <w:p w14:paraId="5EC4ED98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Musi obsługiwać poniższe standardy w zakresie protokołu IPv4: IPv4, ARP, Klient DNS.</w:t>
      </w:r>
    </w:p>
    <w:p w14:paraId="43DBD807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Obsługa protokołu DHCP dla IPv4 i IPv6 w trybie:</w:t>
      </w:r>
    </w:p>
    <w:p w14:paraId="63FB6F64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Server.</w:t>
      </w:r>
    </w:p>
    <w:p w14:paraId="3FED29EB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757618">
        <w:rPr>
          <w:rFonts w:cs="Calibri"/>
          <w:sz w:val="24"/>
          <w:szCs w:val="24"/>
        </w:rPr>
        <w:t>Relay</w:t>
      </w:r>
      <w:proofErr w:type="spellEnd"/>
      <w:r w:rsidRPr="00757618">
        <w:rPr>
          <w:rFonts w:cs="Calibri"/>
          <w:sz w:val="24"/>
          <w:szCs w:val="24"/>
        </w:rPr>
        <w:t>.</w:t>
      </w:r>
    </w:p>
    <w:p w14:paraId="086DE701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Obsługa protokołów routingu:</w:t>
      </w:r>
    </w:p>
    <w:p w14:paraId="7B43C18A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OSPF.</w:t>
      </w:r>
    </w:p>
    <w:p w14:paraId="7164C377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BGP.</w:t>
      </w:r>
    </w:p>
    <w:p w14:paraId="41ABA1A5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ECMP.</w:t>
      </w:r>
    </w:p>
    <w:p w14:paraId="706502B1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PBR.</w:t>
      </w:r>
    </w:p>
    <w:p w14:paraId="6E2532A4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HSRP lub VRRP.</w:t>
      </w:r>
    </w:p>
    <w:p w14:paraId="24149E9D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BFD.</w:t>
      </w:r>
    </w:p>
    <w:p w14:paraId="4615A934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Obsługa </w:t>
      </w:r>
      <w:proofErr w:type="spellStart"/>
      <w:r w:rsidRPr="00757618">
        <w:rPr>
          <w:rFonts w:cs="Calibri"/>
          <w:sz w:val="24"/>
          <w:szCs w:val="24"/>
        </w:rPr>
        <w:t>multicastów</w:t>
      </w:r>
      <w:proofErr w:type="spellEnd"/>
      <w:r w:rsidRPr="00757618">
        <w:rPr>
          <w:rFonts w:cs="Calibri"/>
          <w:sz w:val="24"/>
          <w:szCs w:val="24"/>
        </w:rPr>
        <w:t>:</w:t>
      </w:r>
    </w:p>
    <w:p w14:paraId="48090442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 IGMP v1/v2/v3.</w:t>
      </w:r>
    </w:p>
    <w:p w14:paraId="1CF5460C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 IGMP Fast </w:t>
      </w:r>
      <w:proofErr w:type="spellStart"/>
      <w:r w:rsidRPr="00757618">
        <w:rPr>
          <w:rFonts w:cs="Calibri"/>
          <w:sz w:val="24"/>
          <w:szCs w:val="24"/>
        </w:rPr>
        <w:t>Leave</w:t>
      </w:r>
      <w:proofErr w:type="spellEnd"/>
      <w:r w:rsidRPr="00757618">
        <w:rPr>
          <w:rFonts w:cs="Calibri"/>
          <w:sz w:val="24"/>
          <w:szCs w:val="24"/>
        </w:rPr>
        <w:t>.</w:t>
      </w:r>
    </w:p>
    <w:p w14:paraId="088D0DAF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MVR</w:t>
      </w:r>
    </w:p>
    <w:p w14:paraId="2652A574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Obsługa </w:t>
      </w:r>
      <w:proofErr w:type="spellStart"/>
      <w:r w:rsidRPr="00757618">
        <w:rPr>
          <w:rFonts w:cs="Calibri"/>
          <w:sz w:val="24"/>
          <w:szCs w:val="24"/>
        </w:rPr>
        <w:t>voice</w:t>
      </w:r>
      <w:proofErr w:type="spellEnd"/>
      <w:r w:rsidRPr="00757618">
        <w:rPr>
          <w:rFonts w:cs="Calibri"/>
          <w:sz w:val="24"/>
          <w:szCs w:val="24"/>
        </w:rPr>
        <w:t xml:space="preserve"> </w:t>
      </w:r>
      <w:proofErr w:type="spellStart"/>
      <w:r w:rsidRPr="00757618">
        <w:rPr>
          <w:rFonts w:cs="Calibri"/>
          <w:sz w:val="24"/>
          <w:szCs w:val="24"/>
        </w:rPr>
        <w:t>vlan</w:t>
      </w:r>
      <w:proofErr w:type="spellEnd"/>
    </w:p>
    <w:p w14:paraId="4BA2136E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Obsługa </w:t>
      </w:r>
      <w:proofErr w:type="spellStart"/>
      <w:r w:rsidRPr="00757618">
        <w:rPr>
          <w:rFonts w:cs="Calibri"/>
          <w:sz w:val="24"/>
          <w:szCs w:val="24"/>
        </w:rPr>
        <w:t>private</w:t>
      </w:r>
      <w:proofErr w:type="spellEnd"/>
      <w:r w:rsidRPr="00757618">
        <w:rPr>
          <w:rFonts w:cs="Calibri"/>
          <w:sz w:val="24"/>
          <w:szCs w:val="24"/>
        </w:rPr>
        <w:t xml:space="preserve"> </w:t>
      </w:r>
      <w:proofErr w:type="spellStart"/>
      <w:r w:rsidRPr="00757618">
        <w:rPr>
          <w:rFonts w:cs="Calibri"/>
          <w:sz w:val="24"/>
          <w:szCs w:val="24"/>
        </w:rPr>
        <w:t>vlan</w:t>
      </w:r>
      <w:proofErr w:type="spellEnd"/>
    </w:p>
    <w:p w14:paraId="23D036F5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Możliwość konfiguracji mechanizmów bezpieczeństwa, w tym:</w:t>
      </w:r>
    </w:p>
    <w:p w14:paraId="05D9203C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IP Source </w:t>
      </w:r>
      <w:proofErr w:type="spellStart"/>
      <w:r w:rsidRPr="00757618">
        <w:rPr>
          <w:rFonts w:cs="Calibri"/>
          <w:sz w:val="24"/>
          <w:szCs w:val="24"/>
        </w:rPr>
        <w:t>Guard</w:t>
      </w:r>
      <w:proofErr w:type="spellEnd"/>
    </w:p>
    <w:p w14:paraId="75B65F5B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DHCP </w:t>
      </w:r>
      <w:proofErr w:type="spellStart"/>
      <w:r w:rsidRPr="00757618">
        <w:rPr>
          <w:rFonts w:cs="Calibri"/>
          <w:sz w:val="24"/>
          <w:szCs w:val="24"/>
        </w:rPr>
        <w:t>Snooping</w:t>
      </w:r>
      <w:proofErr w:type="spellEnd"/>
    </w:p>
    <w:p w14:paraId="707523C9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Port </w:t>
      </w:r>
      <w:proofErr w:type="spellStart"/>
      <w:r w:rsidRPr="00757618">
        <w:rPr>
          <w:rFonts w:cs="Calibri"/>
          <w:sz w:val="24"/>
          <w:szCs w:val="24"/>
        </w:rPr>
        <w:t>security</w:t>
      </w:r>
      <w:proofErr w:type="spellEnd"/>
    </w:p>
    <w:p w14:paraId="58EACE6E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BPDU </w:t>
      </w:r>
      <w:proofErr w:type="spellStart"/>
      <w:r w:rsidRPr="00757618">
        <w:rPr>
          <w:rFonts w:cs="Calibri"/>
          <w:sz w:val="24"/>
          <w:szCs w:val="24"/>
        </w:rPr>
        <w:t>Guard</w:t>
      </w:r>
      <w:proofErr w:type="spellEnd"/>
    </w:p>
    <w:p w14:paraId="42FE27E7" w14:textId="77777777" w:rsidR="00830A72" w:rsidRPr="00757618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lastRenderedPageBreak/>
        <w:t xml:space="preserve">Root </w:t>
      </w:r>
      <w:proofErr w:type="spellStart"/>
      <w:r w:rsidRPr="00757618">
        <w:rPr>
          <w:rFonts w:cs="Calibri"/>
          <w:sz w:val="24"/>
          <w:szCs w:val="24"/>
        </w:rPr>
        <w:t>Guard</w:t>
      </w:r>
      <w:proofErr w:type="spellEnd"/>
    </w:p>
    <w:p w14:paraId="2B4DAFDF" w14:textId="77777777" w:rsidR="00830A72" w:rsidRPr="000430B9" w:rsidRDefault="00830A72" w:rsidP="00830A72">
      <w:pPr>
        <w:pStyle w:val="Akapitzlist"/>
        <w:numPr>
          <w:ilvl w:val="4"/>
          <w:numId w:val="31"/>
        </w:num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  <w:r w:rsidRPr="000430B9">
        <w:rPr>
          <w:rFonts w:cs="Calibri"/>
          <w:sz w:val="24"/>
          <w:szCs w:val="24"/>
          <w:lang w:val="en-US"/>
        </w:rPr>
        <w:t>Storm Control (Broadcast, Multicast, Unicast)</w:t>
      </w:r>
    </w:p>
    <w:p w14:paraId="5E60C784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Zarządzanie i monitorowanie</w:t>
      </w:r>
    </w:p>
    <w:p w14:paraId="41D2F40F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Posiadający tekstowy interfejs zarządzania z podpowiedziami kontekstowymi</w:t>
      </w:r>
    </w:p>
    <w:p w14:paraId="54E9CCDF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Posiadający tekstowy plik konfiguracyjny możliwy do wyeksportowania, edytowania poza urządzeniem i ponownego zaimportowania do urządzenia</w:t>
      </w:r>
    </w:p>
    <w:p w14:paraId="286576A8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Możliwość uzyskania dostępu do urządzenia przez SNMPv3, SSHv2 z wykorzystaniem IPv4 i IPv6</w:t>
      </w:r>
    </w:p>
    <w:p w14:paraId="5785D73B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Umożliwiający bezpośredni dostęp do interfejsu zarządzania z wykorzystaniem dedykowanego portu szeregowego lub jego emulacji</w:t>
      </w:r>
    </w:p>
    <w:p w14:paraId="449EE839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Umożliwiający definiowanie kont użytkowników o co najmniej 3 różnych poziomach dostępu administracyjnego, zapewniających rosnący zestaw uprawnień</w:t>
      </w:r>
    </w:p>
    <w:p w14:paraId="1F3F9ADE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Pozwalający na przechowywanie przynajmniej dwóch wersji oprogramowania systemowego (aktywna i zapasowa)</w:t>
      </w:r>
    </w:p>
    <w:p w14:paraId="6624E70D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Udostępniający informacje o swoim stanie z wykorzystaniem protokołu SNMPv3</w:t>
      </w:r>
    </w:p>
    <w:p w14:paraId="30C0C49A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Obsługujący wysyłanie powiadomień o zdarzeniach z użyciem SNMP (trap)</w:t>
      </w:r>
    </w:p>
    <w:p w14:paraId="6E430A7B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Umożliwiający przesyłanie dzienników zdarzeń z wykorzystaniem protokołu SYSLOG</w:t>
      </w:r>
    </w:p>
    <w:p w14:paraId="1CF5F5EA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Obsługujący synchronizację czasu systemowego z użyciem protokołu NTP</w:t>
      </w:r>
    </w:p>
    <w:p w14:paraId="22E7D4C5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Zamawiający wymaga aby przełącznik posiadał sygnalizację wizualną przy pomocy diod LED lub LCD, informujące minimum o: alarm temperatury oraz alarm wentylatorów.</w:t>
      </w:r>
    </w:p>
    <w:p w14:paraId="32DA5D56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Certyfikaty</w:t>
      </w:r>
    </w:p>
    <w:p w14:paraId="7E3B88ED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ISO-9001</w:t>
      </w:r>
    </w:p>
    <w:p w14:paraId="4D00E063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ISO-14001</w:t>
      </w:r>
    </w:p>
    <w:p w14:paraId="35AD0C35" w14:textId="77777777" w:rsidR="00830A72" w:rsidRPr="00757618" w:rsidRDefault="00830A72" w:rsidP="00830A72">
      <w:pPr>
        <w:pStyle w:val="Akapitzlist"/>
        <w:numPr>
          <w:ilvl w:val="3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Deklaracja CE</w:t>
      </w:r>
    </w:p>
    <w:p w14:paraId="4ABA29B7" w14:textId="77777777" w:rsidR="00830A72" w:rsidRPr="00757618" w:rsidRDefault="00830A72" w:rsidP="00830A7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Wkładki SFP+ (Duplex) – 20 sztuk – o przepustowości minimum 10 </w:t>
      </w:r>
      <w:proofErr w:type="spellStart"/>
      <w:r w:rsidRPr="00757618">
        <w:rPr>
          <w:rFonts w:cs="Calibri"/>
          <w:sz w:val="24"/>
          <w:szCs w:val="24"/>
        </w:rPr>
        <w:t>Gbps</w:t>
      </w:r>
      <w:proofErr w:type="spellEnd"/>
      <w:r w:rsidRPr="00757618">
        <w:rPr>
          <w:rFonts w:cs="Calibri"/>
          <w:sz w:val="24"/>
          <w:szCs w:val="24"/>
        </w:rPr>
        <w:t xml:space="preserve"> – umożliwiających połączenie zamawianych przez zamawiającego urządzeń typu </w:t>
      </w:r>
      <w:proofErr w:type="spellStart"/>
      <w:r w:rsidRPr="00757618">
        <w:rPr>
          <w:rFonts w:cs="Calibri"/>
          <w:sz w:val="24"/>
          <w:szCs w:val="24"/>
        </w:rPr>
        <w:t>switch</w:t>
      </w:r>
      <w:proofErr w:type="spellEnd"/>
      <w:r w:rsidRPr="00757618">
        <w:rPr>
          <w:rFonts w:cs="Calibri"/>
          <w:sz w:val="24"/>
          <w:szCs w:val="24"/>
        </w:rPr>
        <w:t xml:space="preserve"> z najbliższym węzłem sieci szerokopasmowej wskazanym przez zamawiającego. W tym:</w:t>
      </w:r>
    </w:p>
    <w:p w14:paraId="62DF30DD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lastRenderedPageBreak/>
        <w:t xml:space="preserve">Moduł optyczny SFP+ BIDI Single </w:t>
      </w:r>
      <w:proofErr w:type="spellStart"/>
      <w:r w:rsidRPr="00757618">
        <w:rPr>
          <w:rFonts w:cs="Calibri"/>
          <w:sz w:val="24"/>
          <w:szCs w:val="24"/>
        </w:rPr>
        <w:t>Mode</w:t>
      </w:r>
      <w:proofErr w:type="spellEnd"/>
      <w:r w:rsidRPr="00757618">
        <w:rPr>
          <w:rFonts w:cs="Calibri"/>
          <w:sz w:val="24"/>
          <w:szCs w:val="24"/>
        </w:rPr>
        <w:t xml:space="preserve"> 1270nm/1330nm LC 20km 10Gb dla przełączników dostępowych – 4 sztuki.</w:t>
      </w:r>
    </w:p>
    <w:p w14:paraId="276270E5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Moduł optyczny SFP+ BIDI Single </w:t>
      </w:r>
      <w:proofErr w:type="spellStart"/>
      <w:r w:rsidRPr="00757618">
        <w:rPr>
          <w:rFonts w:cs="Calibri"/>
          <w:sz w:val="24"/>
          <w:szCs w:val="24"/>
        </w:rPr>
        <w:t>Mode</w:t>
      </w:r>
      <w:proofErr w:type="spellEnd"/>
      <w:r w:rsidRPr="00757618">
        <w:rPr>
          <w:rFonts w:cs="Calibri"/>
          <w:sz w:val="24"/>
          <w:szCs w:val="24"/>
        </w:rPr>
        <w:t xml:space="preserve"> 1330nm/1270nm LC 20km 10Gb dla przełączników dostępowych – 2 sztuki.</w:t>
      </w:r>
    </w:p>
    <w:p w14:paraId="0691B62B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>Moduł optyczny SFP+ BIDI SM 1330nm/1270nm LC 20km 10Gb dla przełączników rdzeniowych -2 sztuki.</w:t>
      </w:r>
    </w:p>
    <w:p w14:paraId="1F065335" w14:textId="77777777" w:rsidR="00830A72" w:rsidRPr="00757618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57618">
        <w:rPr>
          <w:rFonts w:cs="Calibri"/>
          <w:sz w:val="24"/>
          <w:szCs w:val="24"/>
        </w:rPr>
        <w:t xml:space="preserve">Moduł optyczny SFP+ SR 10Gbs 850nm LC Multi </w:t>
      </w:r>
      <w:proofErr w:type="spellStart"/>
      <w:r w:rsidRPr="00757618">
        <w:rPr>
          <w:rFonts w:cs="Calibri"/>
          <w:sz w:val="24"/>
          <w:szCs w:val="24"/>
        </w:rPr>
        <w:t>Mode</w:t>
      </w:r>
      <w:proofErr w:type="spellEnd"/>
      <w:r w:rsidRPr="00757618">
        <w:rPr>
          <w:rFonts w:cs="Calibri"/>
          <w:sz w:val="24"/>
          <w:szCs w:val="24"/>
        </w:rPr>
        <w:t xml:space="preserve"> 300m dla przełączników dostępowych – 12 sztuk.</w:t>
      </w:r>
    </w:p>
    <w:p w14:paraId="50B2EBF3" w14:textId="77777777" w:rsidR="00830A72" w:rsidRPr="00757618" w:rsidRDefault="00830A72" w:rsidP="00830A7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757618">
        <w:rPr>
          <w:rFonts w:cs="Calibri"/>
          <w:sz w:val="24"/>
          <w:szCs w:val="24"/>
        </w:rPr>
        <w:t>Patchcordy</w:t>
      </w:r>
      <w:proofErr w:type="spellEnd"/>
      <w:r w:rsidRPr="00757618">
        <w:rPr>
          <w:rFonts w:cs="Calibri"/>
          <w:sz w:val="24"/>
          <w:szCs w:val="24"/>
        </w:rPr>
        <w:t xml:space="preserve"> światłowodowe 14 sztuk, w tym:</w:t>
      </w:r>
    </w:p>
    <w:p w14:paraId="7B129EFE" w14:textId="77777777" w:rsidR="00830A72" w:rsidRPr="000430B9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0430B9">
        <w:rPr>
          <w:rFonts w:cs="Calibri"/>
          <w:sz w:val="24"/>
          <w:szCs w:val="24"/>
          <w:lang w:val="en-US"/>
        </w:rPr>
        <w:t>Patchcord</w:t>
      </w:r>
      <w:proofErr w:type="spellEnd"/>
      <w:r w:rsidRPr="000430B9">
        <w:rPr>
          <w:rFonts w:cs="Calibri"/>
          <w:sz w:val="24"/>
          <w:szCs w:val="24"/>
          <w:lang w:val="en-US"/>
        </w:rPr>
        <w:t xml:space="preserve"> Multi Mode LC/UPC-LC/UPC Duplex 1 </w:t>
      </w:r>
      <w:proofErr w:type="spellStart"/>
      <w:r w:rsidRPr="000430B9">
        <w:rPr>
          <w:rFonts w:cs="Calibri"/>
          <w:sz w:val="24"/>
          <w:szCs w:val="24"/>
          <w:lang w:val="en-US"/>
        </w:rPr>
        <w:t>metr</w:t>
      </w:r>
      <w:proofErr w:type="spellEnd"/>
      <w:r w:rsidRPr="000430B9">
        <w:rPr>
          <w:rFonts w:cs="Calibri"/>
          <w:sz w:val="24"/>
          <w:szCs w:val="24"/>
          <w:lang w:val="en-US"/>
        </w:rPr>
        <w:t xml:space="preserve"> – 6 </w:t>
      </w:r>
      <w:proofErr w:type="spellStart"/>
      <w:r w:rsidRPr="000430B9">
        <w:rPr>
          <w:rFonts w:cs="Calibri"/>
          <w:sz w:val="24"/>
          <w:szCs w:val="24"/>
          <w:lang w:val="en-US"/>
        </w:rPr>
        <w:t>sztuk</w:t>
      </w:r>
      <w:proofErr w:type="spellEnd"/>
      <w:r w:rsidRPr="000430B9">
        <w:rPr>
          <w:rFonts w:cs="Calibri"/>
          <w:sz w:val="24"/>
          <w:szCs w:val="24"/>
          <w:lang w:val="en-US"/>
        </w:rPr>
        <w:t>.</w:t>
      </w:r>
    </w:p>
    <w:p w14:paraId="146A6EB0" w14:textId="77777777" w:rsidR="00830A72" w:rsidRPr="000430B9" w:rsidRDefault="00830A72" w:rsidP="00830A72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cs="Calibri"/>
          <w:szCs w:val="24"/>
          <w:lang w:val="en-US"/>
        </w:rPr>
      </w:pPr>
      <w:proofErr w:type="spellStart"/>
      <w:r w:rsidRPr="000430B9">
        <w:rPr>
          <w:rFonts w:cs="Calibri"/>
          <w:szCs w:val="24"/>
          <w:lang w:val="en-US"/>
        </w:rPr>
        <w:t>Patchcord</w:t>
      </w:r>
      <w:proofErr w:type="spellEnd"/>
      <w:r w:rsidRPr="000430B9">
        <w:rPr>
          <w:rFonts w:cs="Calibri"/>
          <w:szCs w:val="24"/>
          <w:lang w:val="en-US"/>
        </w:rPr>
        <w:t xml:space="preserve"> Single Mode SC/APC – LC/UPC Simplex 2 </w:t>
      </w:r>
      <w:proofErr w:type="spellStart"/>
      <w:r w:rsidRPr="000430B9">
        <w:rPr>
          <w:rFonts w:cs="Calibri"/>
          <w:szCs w:val="24"/>
          <w:lang w:val="en-US"/>
        </w:rPr>
        <w:t>metry</w:t>
      </w:r>
      <w:proofErr w:type="spellEnd"/>
      <w:r w:rsidRPr="000430B9">
        <w:rPr>
          <w:rFonts w:cs="Calibri"/>
          <w:szCs w:val="24"/>
          <w:lang w:val="en-US"/>
        </w:rPr>
        <w:t xml:space="preserve"> – 8 </w:t>
      </w:r>
      <w:proofErr w:type="spellStart"/>
      <w:r w:rsidRPr="000430B9">
        <w:rPr>
          <w:rFonts w:cs="Calibri"/>
          <w:szCs w:val="24"/>
          <w:lang w:val="en-US"/>
        </w:rPr>
        <w:t>sztuk</w:t>
      </w:r>
      <w:proofErr w:type="spellEnd"/>
      <w:r w:rsidRPr="000430B9">
        <w:rPr>
          <w:rFonts w:cs="Calibri"/>
          <w:szCs w:val="24"/>
          <w:lang w:val="en-US"/>
        </w:rPr>
        <w:t>.</w:t>
      </w:r>
    </w:p>
    <w:p w14:paraId="52250584" w14:textId="77777777" w:rsidR="00830A72" w:rsidRPr="00757618" w:rsidRDefault="00830A72" w:rsidP="00830A7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cs="Calibri"/>
          <w:sz w:val="24"/>
          <w:szCs w:val="28"/>
        </w:rPr>
      </w:pPr>
      <w:r w:rsidRPr="00757618">
        <w:rPr>
          <w:rFonts w:cs="Calibri"/>
          <w:sz w:val="24"/>
          <w:szCs w:val="28"/>
        </w:rPr>
        <w:t xml:space="preserve">Zasilacz awaryjny montaż </w:t>
      </w:r>
      <w:proofErr w:type="spellStart"/>
      <w:r w:rsidRPr="00757618">
        <w:rPr>
          <w:rFonts w:cs="Calibri"/>
          <w:sz w:val="24"/>
          <w:szCs w:val="28"/>
        </w:rPr>
        <w:t>rack</w:t>
      </w:r>
      <w:proofErr w:type="spellEnd"/>
      <w:r w:rsidRPr="00757618">
        <w:rPr>
          <w:rFonts w:cs="Calibri"/>
          <w:sz w:val="24"/>
          <w:szCs w:val="28"/>
        </w:rPr>
        <w:t xml:space="preserve"> 19 – 2 sztuki</w:t>
      </w:r>
      <w:r w:rsidRPr="00757618">
        <w:rPr>
          <w:rFonts w:cs="Calibri"/>
          <w:b/>
          <w:bCs/>
          <w:sz w:val="24"/>
          <w:szCs w:val="28"/>
        </w:rPr>
        <w:t>“-</w:t>
      </w:r>
      <w:r w:rsidRPr="00757618">
        <w:rPr>
          <w:rFonts w:cs="Calibri"/>
          <w:sz w:val="24"/>
          <w:szCs w:val="28"/>
        </w:rPr>
        <w:t xml:space="preserve"> zapewniający zasilanie dla całego zamówienia przez minimum 10 minut.</w:t>
      </w:r>
    </w:p>
    <w:p w14:paraId="71517FE7" w14:textId="77777777" w:rsidR="00830A72" w:rsidRPr="00757618" w:rsidRDefault="00830A72" w:rsidP="00830A7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cs="Calibri"/>
          <w:sz w:val="24"/>
          <w:szCs w:val="28"/>
        </w:rPr>
      </w:pPr>
      <w:r w:rsidRPr="00757618">
        <w:rPr>
          <w:rFonts w:cs="Calibri"/>
          <w:sz w:val="24"/>
          <w:szCs w:val="28"/>
        </w:rPr>
        <w:t xml:space="preserve">Kable LAN UTP kat. 6 o złączach rj45, - 144 sztuki, o długości umożliwiającej podłączenie zamawianych urządzeń </w:t>
      </w:r>
      <w:proofErr w:type="spellStart"/>
      <w:r w:rsidRPr="00757618">
        <w:rPr>
          <w:rFonts w:cs="Calibri"/>
          <w:sz w:val="24"/>
          <w:szCs w:val="28"/>
        </w:rPr>
        <w:t>switch</w:t>
      </w:r>
      <w:proofErr w:type="spellEnd"/>
      <w:r w:rsidRPr="00757618">
        <w:rPr>
          <w:rFonts w:cs="Calibri"/>
          <w:sz w:val="24"/>
          <w:szCs w:val="28"/>
        </w:rPr>
        <w:t xml:space="preserve"> do paneli </w:t>
      </w:r>
      <w:proofErr w:type="spellStart"/>
      <w:r w:rsidRPr="00757618">
        <w:rPr>
          <w:rFonts w:cs="Calibri"/>
          <w:sz w:val="24"/>
          <w:szCs w:val="28"/>
        </w:rPr>
        <w:t>krosowniczych</w:t>
      </w:r>
      <w:proofErr w:type="spellEnd"/>
      <w:r w:rsidRPr="00757618">
        <w:rPr>
          <w:rFonts w:cs="Calibri"/>
          <w:sz w:val="24"/>
          <w:szCs w:val="28"/>
        </w:rPr>
        <w:t xml:space="preserve"> oraz punktów dostępu bezprzewodowego do istniejącej sieci LAN. </w:t>
      </w:r>
    </w:p>
    <w:p w14:paraId="5EA4B0C9" w14:textId="77777777" w:rsidR="00830A72" w:rsidRDefault="00830A72" w:rsidP="00830A7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cs="Calibri"/>
          <w:szCs w:val="24"/>
        </w:rPr>
      </w:pPr>
      <w:proofErr w:type="spellStart"/>
      <w:r w:rsidRPr="00757618">
        <w:rPr>
          <w:rFonts w:cs="Calibri"/>
          <w:sz w:val="24"/>
          <w:szCs w:val="28"/>
        </w:rPr>
        <w:t>Patchcordy</w:t>
      </w:r>
      <w:proofErr w:type="spellEnd"/>
      <w:r w:rsidRPr="00757618">
        <w:rPr>
          <w:rFonts w:cs="Calibri"/>
          <w:sz w:val="24"/>
          <w:szCs w:val="28"/>
        </w:rPr>
        <w:t xml:space="preserve"> do szaf światłowodowych (PDN) – celem wykonania trasy do serwerowni </w:t>
      </w:r>
      <w:r w:rsidRPr="00757618">
        <w:rPr>
          <w:rFonts w:cs="Calibri"/>
          <w:szCs w:val="24"/>
        </w:rPr>
        <w:t>głównej oraz zapasowej - 40  szt.</w:t>
      </w:r>
    </w:p>
    <w:p w14:paraId="6F1EF033" w14:textId="77777777" w:rsidR="00830A72" w:rsidRPr="00757618" w:rsidRDefault="00830A72" w:rsidP="00830A7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cs="Calibri"/>
          <w:szCs w:val="24"/>
        </w:rPr>
      </w:pPr>
      <w:r w:rsidRPr="00B9758D">
        <w:rPr>
          <w:rFonts w:cs="Calibri"/>
          <w:szCs w:val="24"/>
        </w:rPr>
        <w:t xml:space="preserve">Zmawiający </w:t>
      </w:r>
      <w:r>
        <w:rPr>
          <w:rFonts w:cs="Calibri"/>
          <w:szCs w:val="24"/>
        </w:rPr>
        <w:t>informuje o</w:t>
      </w:r>
      <w:r w:rsidRPr="00B9758D">
        <w:rPr>
          <w:rFonts w:cs="Calibri"/>
          <w:szCs w:val="24"/>
        </w:rPr>
        <w:t xml:space="preserve"> koniecznoś</w:t>
      </w:r>
      <w:r>
        <w:rPr>
          <w:rFonts w:cs="Calibri"/>
          <w:szCs w:val="24"/>
        </w:rPr>
        <w:t>ci</w:t>
      </w:r>
      <w:r w:rsidRPr="00B9758D">
        <w:rPr>
          <w:rFonts w:cs="Calibri"/>
          <w:szCs w:val="24"/>
        </w:rPr>
        <w:t xml:space="preserve"> zachowania obowiązującej gwarancji</w:t>
      </w:r>
      <w:r>
        <w:rPr>
          <w:rFonts w:cs="Calibri"/>
          <w:szCs w:val="24"/>
        </w:rPr>
        <w:t xml:space="preserve"> systemowej </w:t>
      </w:r>
      <w:proofErr w:type="spellStart"/>
      <w:r>
        <w:rPr>
          <w:rFonts w:cs="Calibri"/>
          <w:szCs w:val="24"/>
        </w:rPr>
        <w:t>Fibrain</w:t>
      </w:r>
      <w:proofErr w:type="spellEnd"/>
      <w:r>
        <w:rPr>
          <w:rFonts w:cs="Calibri"/>
          <w:szCs w:val="24"/>
        </w:rPr>
        <w:t xml:space="preserve">. </w:t>
      </w:r>
      <w:r w:rsidRPr="00B9758D">
        <w:rPr>
          <w:rFonts w:cs="Calibri"/>
          <w:szCs w:val="24"/>
        </w:rPr>
        <w:t xml:space="preserve">Należy dostarczyć materiały zgodne z systemem producenta okablowania światłowodowego </w:t>
      </w:r>
      <w:proofErr w:type="spellStart"/>
      <w:r w:rsidRPr="00B9758D">
        <w:rPr>
          <w:rFonts w:cs="Calibri"/>
          <w:szCs w:val="24"/>
        </w:rPr>
        <w:t>Fibrain</w:t>
      </w:r>
      <w:proofErr w:type="spellEnd"/>
      <w:r w:rsidRPr="00B9758D">
        <w:rPr>
          <w:rFonts w:cs="Calibri"/>
          <w:szCs w:val="24"/>
        </w:rPr>
        <w:t xml:space="preserve">.  </w:t>
      </w:r>
    </w:p>
    <w:p w14:paraId="10F1C4EC" w14:textId="77777777" w:rsidR="00830A72" w:rsidRPr="00757618" w:rsidRDefault="00830A72" w:rsidP="00830A72">
      <w:pPr>
        <w:pStyle w:val="Akapitzlist"/>
        <w:spacing w:after="0" w:line="360" w:lineRule="auto"/>
        <w:ind w:left="792"/>
        <w:jc w:val="both"/>
        <w:rPr>
          <w:rFonts w:cs="Calibri"/>
          <w:szCs w:val="24"/>
        </w:rPr>
      </w:pPr>
    </w:p>
    <w:p w14:paraId="261C56E5" w14:textId="77777777" w:rsidR="00830A72" w:rsidRPr="00757618" w:rsidRDefault="00830A72" w:rsidP="00830A7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="Calibri"/>
          <w:b/>
          <w:bCs/>
          <w:sz w:val="24"/>
          <w:szCs w:val="28"/>
        </w:rPr>
      </w:pPr>
      <w:r w:rsidRPr="00757618">
        <w:rPr>
          <w:rFonts w:cs="Calibri"/>
          <w:b/>
          <w:bCs/>
          <w:sz w:val="24"/>
          <w:szCs w:val="28"/>
        </w:rPr>
        <w:t>Zakres wdrożenia</w:t>
      </w:r>
    </w:p>
    <w:p w14:paraId="283E5BC5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 xml:space="preserve">Wykonawca we wskazanych przez zamawiającego lokalizacjach w ramach „Centrum Kreatywności Pałacyk”, uruchomi i skonfiguruje zamawiane urządzenia. </w:t>
      </w:r>
    </w:p>
    <w:p w14:paraId="7B536077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>Zamawiający zastrzega. że przedmiot dostawy ma być fabrycznie nowy. wolny od wad i kompletny tj. posiadający wszelkie akcesoria. przewody, kable, bezterminowe licencje, zasilacze niezbędne do ich użytkowania.</w:t>
      </w:r>
    </w:p>
    <w:p w14:paraId="48A8B582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 xml:space="preserve"> Wszystkie materiały powinny być nowe, nie noszące śladów uszkodzeń zewnętrznych i uprzedniego używania tzn. że żadna część składająca się na dany materiał nie może być wcześniej używana, musi pochodzić z bieżącej produkcji, z oficjalnego kanału </w:t>
      </w:r>
      <w:r w:rsidRPr="00757618">
        <w:rPr>
          <w:rFonts w:ascii="Calibri" w:hAnsi="Calibri" w:cs="Calibri"/>
          <w:lang w:val="pl-PL"/>
        </w:rPr>
        <w:lastRenderedPageBreak/>
        <w:t>dystrybucji, być sprawna i posiadać wyposażenie niezbędne do funkcjonalnego działania. Dostarczone artykuły muszą być odpowiednio zapakowane, aby zapobiec uszkodzeniu w czasie dostawy.</w:t>
      </w:r>
    </w:p>
    <w:p w14:paraId="0B4814DF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 xml:space="preserve"> Należy wykonać połączenie wykonywanej sieci WIFI z siecią szerokopasmową Zamawiającego</w:t>
      </w:r>
    </w:p>
    <w:p w14:paraId="67555DEA" w14:textId="77777777" w:rsidR="00830A72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>Wykonawca zobowiązany jest do montażu, uruchomienia i konfiguracji całego systemu</w:t>
      </w:r>
      <w:r>
        <w:rPr>
          <w:rFonts w:ascii="Calibri" w:hAnsi="Calibri" w:cs="Calibri"/>
          <w:lang w:val="pl-PL"/>
        </w:rPr>
        <w:t>.</w:t>
      </w:r>
    </w:p>
    <w:p w14:paraId="5100CEF8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Wykonawca wykona </w:t>
      </w:r>
      <w:proofErr w:type="spellStart"/>
      <w:r>
        <w:rPr>
          <w:rFonts w:ascii="Calibri" w:hAnsi="Calibri" w:cs="Calibri"/>
          <w:lang w:val="pl-PL"/>
        </w:rPr>
        <w:t>krosowania</w:t>
      </w:r>
      <w:proofErr w:type="spellEnd"/>
      <w:r>
        <w:rPr>
          <w:rFonts w:ascii="Calibri" w:hAnsi="Calibri" w:cs="Calibri"/>
          <w:lang w:val="pl-PL"/>
        </w:rPr>
        <w:t xml:space="preserve"> sieci światłowodowej</w:t>
      </w:r>
      <w:r w:rsidRPr="002F73F8">
        <w:rPr>
          <w:rFonts w:ascii="Calibri" w:hAnsi="Calibri" w:cs="Calibri"/>
          <w:lang w:val="pl-PL"/>
        </w:rPr>
        <w:t xml:space="preserve"> na całej trasie do dwóch serwerowni Zamawiającego (w tym ADN02 najbliższego punktu styku znajdującego się na obiekcie Przedszkole Miejskie nr 6 ul. </w:t>
      </w:r>
      <w:proofErr w:type="spellStart"/>
      <w:r w:rsidRPr="002F73F8">
        <w:rPr>
          <w:rFonts w:ascii="Calibri" w:hAnsi="Calibri" w:cs="Calibri"/>
          <w:lang w:val="pl-PL"/>
        </w:rPr>
        <w:t>Św</w:t>
      </w:r>
      <w:proofErr w:type="spellEnd"/>
      <w:r w:rsidRPr="002F73F8">
        <w:rPr>
          <w:rFonts w:ascii="Calibri" w:hAnsi="Calibri" w:cs="Calibri"/>
          <w:lang w:val="pl-PL"/>
        </w:rPr>
        <w:t xml:space="preserve"> Barbary).</w:t>
      </w:r>
    </w:p>
    <w:p w14:paraId="2710EEB1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 xml:space="preserve">Wykonawca dostarczy, zainstaluje, skonfiguruje, przeprowadzi testy oraz uruchomi wszystkie punkty dostępu oraz wykona konfiguracje posiadanego kontrolera vx9000 </w:t>
      </w:r>
      <w:r w:rsidRPr="00757618">
        <w:rPr>
          <w:rFonts w:ascii="Calibri" w:eastAsia="Calibri" w:hAnsi="Calibri" w:cs="Calibri"/>
          <w:lang w:val="pl-PL" w:eastAsia="en-US" w:bidi="ar-SA"/>
        </w:rPr>
        <w:t>a w przypadku braku takiej możliwości zostanie wykorzystany jeden z punktów dostępowych jako kontroler sieci WIFI</w:t>
      </w:r>
      <w:r>
        <w:rPr>
          <w:rFonts w:ascii="Calibri" w:eastAsia="Calibri" w:hAnsi="Calibri" w:cs="Calibri"/>
          <w:lang w:val="pl-PL" w:eastAsia="en-US" w:bidi="ar-SA"/>
        </w:rPr>
        <w:t xml:space="preserve"> </w:t>
      </w:r>
      <w:r w:rsidRPr="003F5B55">
        <w:rPr>
          <w:rFonts w:ascii="Calibri" w:eastAsia="Calibri" w:hAnsi="Calibri" w:cs="Calibri"/>
          <w:lang w:val="pl-PL" w:eastAsia="en-US" w:bidi="ar-SA"/>
        </w:rPr>
        <w:t xml:space="preserve">bądź rozwiązania chmurowego, w wariancie </w:t>
      </w:r>
      <w:proofErr w:type="spellStart"/>
      <w:r w:rsidRPr="003F5B55">
        <w:rPr>
          <w:rFonts w:ascii="Calibri" w:eastAsia="Calibri" w:hAnsi="Calibri" w:cs="Calibri"/>
          <w:lang w:val="pl-PL" w:eastAsia="en-US" w:bidi="ar-SA"/>
        </w:rPr>
        <w:t>bezkosztowym</w:t>
      </w:r>
      <w:proofErr w:type="spellEnd"/>
      <w:r w:rsidRPr="003F5B55">
        <w:rPr>
          <w:rFonts w:ascii="Calibri" w:eastAsia="Calibri" w:hAnsi="Calibri" w:cs="Calibri"/>
          <w:lang w:val="pl-PL" w:eastAsia="en-US" w:bidi="ar-SA"/>
        </w:rPr>
        <w:t xml:space="preserve">.  </w:t>
      </w:r>
    </w:p>
    <w:p w14:paraId="4FA1B3AC" w14:textId="77777777" w:rsidR="00830A72" w:rsidRPr="00D23E2C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 xml:space="preserve">Wykonawca zapewni min. </w:t>
      </w:r>
      <w:r>
        <w:rPr>
          <w:rFonts w:ascii="Calibri" w:hAnsi="Calibri" w:cs="Calibri"/>
          <w:lang w:val="pl-PL"/>
        </w:rPr>
        <w:t>2</w:t>
      </w:r>
      <w:r w:rsidRPr="00757618">
        <w:rPr>
          <w:rFonts w:ascii="Calibri" w:hAnsi="Calibri" w:cs="Calibri"/>
          <w:lang w:val="pl-PL"/>
        </w:rPr>
        <w:t xml:space="preserve"> lat gwarancji na cały sprzęt i wykonaną usługę w miejscu eksploatacji sprzętu.</w:t>
      </w:r>
    </w:p>
    <w:p w14:paraId="0976B03E" w14:textId="77777777" w:rsidR="00830A72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>Zamawiający wymaga wykonania dokumentacji po wdrożeniowej</w:t>
      </w:r>
      <w:r>
        <w:rPr>
          <w:rFonts w:ascii="Calibri" w:hAnsi="Calibri" w:cs="Calibri"/>
          <w:lang w:val="pl-PL"/>
        </w:rPr>
        <w:t xml:space="preserve">, której przedstawiona koncepcja musi otrzymać akceptacje zamawiającego. </w:t>
      </w:r>
    </w:p>
    <w:p w14:paraId="2953FD70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Ws</w:t>
      </w:r>
      <w:r w:rsidRPr="00BA43E3">
        <w:rPr>
          <w:rFonts w:ascii="Calibri" w:hAnsi="Calibri" w:cs="Calibri"/>
          <w:lang w:val="pl-PL"/>
        </w:rPr>
        <w:t>zelkie dane zebrane powykonawczo należy przekazać do podmiotu zarządzającym siecią w imieniu Gminy Starachowice , celem opracowania aktualizacji dokumentacji.</w:t>
      </w:r>
    </w:p>
    <w:p w14:paraId="162E6D09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lang w:val="pl-PL"/>
        </w:rPr>
        <w:t>Wszelkie materiały użyte do wykonania zamówienia należy skalkulować w cenie oferty.</w:t>
      </w:r>
    </w:p>
    <w:p w14:paraId="0E19A05B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color w:val="000000"/>
        </w:rPr>
        <w:t xml:space="preserve">W </w:t>
      </w:r>
      <w:proofErr w:type="spellStart"/>
      <w:r w:rsidRPr="00757618">
        <w:rPr>
          <w:rFonts w:ascii="Calibri" w:hAnsi="Calibri" w:cs="Calibri"/>
          <w:color w:val="000000"/>
        </w:rPr>
        <w:t>zaproponowanej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cenie</w:t>
      </w:r>
      <w:proofErr w:type="spellEnd"/>
      <w:r w:rsidRPr="00757618">
        <w:rPr>
          <w:rFonts w:ascii="Calibri" w:hAnsi="Calibri" w:cs="Calibri"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color w:val="000000"/>
        </w:rPr>
        <w:t>Oferent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musi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zawrzeć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wszystkie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koszty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niezbędne</w:t>
      </w:r>
      <w:proofErr w:type="spellEnd"/>
      <w:r w:rsidRPr="00757618">
        <w:rPr>
          <w:rFonts w:ascii="Calibri" w:hAnsi="Calibri" w:cs="Calibri"/>
          <w:color w:val="000000"/>
        </w:rPr>
        <w:t xml:space="preserve"> do </w:t>
      </w:r>
      <w:proofErr w:type="spellStart"/>
      <w:r w:rsidRPr="00757618">
        <w:rPr>
          <w:rFonts w:ascii="Calibri" w:hAnsi="Calibri" w:cs="Calibri"/>
          <w:color w:val="000000"/>
        </w:rPr>
        <w:t>właściwego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wykonania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przedmiotowej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usługi</w:t>
      </w:r>
      <w:proofErr w:type="spellEnd"/>
      <w:r w:rsidRPr="00757618">
        <w:rPr>
          <w:rFonts w:ascii="Calibri" w:hAnsi="Calibri" w:cs="Calibri"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color w:val="000000"/>
        </w:rPr>
        <w:t>łącznie</w:t>
      </w:r>
      <w:proofErr w:type="spellEnd"/>
      <w:r w:rsidRPr="00757618">
        <w:rPr>
          <w:rFonts w:ascii="Calibri" w:hAnsi="Calibri" w:cs="Calibri"/>
          <w:color w:val="000000"/>
        </w:rPr>
        <w:t xml:space="preserve"> z </w:t>
      </w:r>
      <w:proofErr w:type="spellStart"/>
      <w:r w:rsidRPr="00757618">
        <w:rPr>
          <w:rFonts w:ascii="Calibri" w:hAnsi="Calibri" w:cs="Calibri"/>
          <w:color w:val="000000"/>
        </w:rPr>
        <w:t>kosztami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dostarczenia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produktów</w:t>
      </w:r>
      <w:proofErr w:type="spellEnd"/>
      <w:r w:rsidRPr="00757618">
        <w:rPr>
          <w:rFonts w:ascii="Calibri" w:hAnsi="Calibri" w:cs="Calibri"/>
          <w:color w:val="000000"/>
        </w:rPr>
        <w:t xml:space="preserve"> do </w:t>
      </w:r>
      <w:proofErr w:type="spellStart"/>
      <w:r w:rsidRPr="00757618">
        <w:rPr>
          <w:rFonts w:ascii="Calibri" w:hAnsi="Calibri" w:cs="Calibri"/>
          <w:color w:val="000000"/>
        </w:rPr>
        <w:t>siedziby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Zamawiającego</w:t>
      </w:r>
      <w:proofErr w:type="spellEnd"/>
      <w:r w:rsidRPr="00757618">
        <w:rPr>
          <w:rFonts w:ascii="Calibri" w:hAnsi="Calibri" w:cs="Calibri"/>
          <w:color w:val="000000"/>
        </w:rPr>
        <w:t>.</w:t>
      </w:r>
    </w:p>
    <w:p w14:paraId="08296B60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color w:val="000000"/>
        </w:rPr>
        <w:t>Sposób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transportu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oraz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opakowanie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sprzętów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muszą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zapewniać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zabezpieczenie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przed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uszkodzeniami</w:t>
      </w:r>
      <w:proofErr w:type="spellEnd"/>
      <w:r w:rsidRPr="00757618">
        <w:rPr>
          <w:rFonts w:ascii="Calibri" w:hAnsi="Calibri" w:cs="Calibri"/>
          <w:color w:val="000000"/>
        </w:rPr>
        <w:t xml:space="preserve">. Za </w:t>
      </w:r>
      <w:proofErr w:type="spellStart"/>
      <w:r w:rsidRPr="00757618">
        <w:rPr>
          <w:rFonts w:ascii="Calibri" w:hAnsi="Calibri" w:cs="Calibri"/>
          <w:color w:val="000000"/>
        </w:rPr>
        <w:t>szkody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powstałe</w:t>
      </w:r>
      <w:proofErr w:type="spellEnd"/>
      <w:r w:rsidRPr="00757618">
        <w:rPr>
          <w:rFonts w:ascii="Calibri" w:hAnsi="Calibri" w:cs="Calibri"/>
          <w:color w:val="000000"/>
        </w:rPr>
        <w:t xml:space="preserve"> z </w:t>
      </w:r>
      <w:proofErr w:type="spellStart"/>
      <w:r w:rsidRPr="00757618">
        <w:rPr>
          <w:rFonts w:ascii="Calibri" w:hAnsi="Calibri" w:cs="Calibri"/>
          <w:color w:val="000000"/>
        </w:rPr>
        <w:t>winy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nienależytego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opakowania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oraz</w:t>
      </w:r>
      <w:proofErr w:type="spellEnd"/>
      <w:r w:rsidRPr="00757618">
        <w:rPr>
          <w:rFonts w:ascii="Calibri" w:hAnsi="Calibri" w:cs="Calibri"/>
          <w:color w:val="000000"/>
        </w:rPr>
        <w:t>/</w:t>
      </w:r>
      <w:proofErr w:type="spellStart"/>
      <w:r w:rsidRPr="00757618">
        <w:rPr>
          <w:rFonts w:ascii="Calibri" w:hAnsi="Calibri" w:cs="Calibri"/>
          <w:color w:val="000000"/>
        </w:rPr>
        <w:t>lub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lastRenderedPageBreak/>
        <w:t>transportu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winę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ponosi</w:t>
      </w:r>
      <w:proofErr w:type="spellEnd"/>
      <w:r w:rsidRPr="00757618">
        <w:rPr>
          <w:rFonts w:ascii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color w:val="000000"/>
        </w:rPr>
        <w:t>Wykonawca</w:t>
      </w:r>
      <w:proofErr w:type="spellEnd"/>
      <w:r w:rsidRPr="00757618">
        <w:rPr>
          <w:rFonts w:ascii="Calibri" w:hAnsi="Calibri" w:cs="Calibri"/>
          <w:color w:val="000000"/>
        </w:rPr>
        <w:t>.</w:t>
      </w:r>
    </w:p>
    <w:p w14:paraId="3808EAB6" w14:textId="77777777" w:rsidR="00830A72" w:rsidRPr="00146102" w:rsidRDefault="00830A72" w:rsidP="00830A72">
      <w:pPr>
        <w:pStyle w:val="Standard"/>
        <w:numPr>
          <w:ilvl w:val="1"/>
          <w:numId w:val="31"/>
        </w:numPr>
        <w:autoSpaceDN/>
        <w:spacing w:line="360" w:lineRule="auto"/>
        <w:ind w:left="788" w:hanging="431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eastAsia="Calibri" w:hAnsi="Calibri" w:cs="Calibri"/>
          <w:bCs/>
          <w:color w:val="000000"/>
        </w:rPr>
        <w:t>Zamawiający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wymaga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aby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dostarczony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sprzęt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stanowiący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przedmiot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zamówienia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był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fabrycznie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nowy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nieużywany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znajdował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się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w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stanie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nieuszkodzonym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technicznie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sprawnym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kompletnym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i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gotowym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do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użytkowania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oraz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spełniał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wymagane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polskim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prawem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normy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i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był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wolny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od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wad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prawnych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.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Zamawiający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wyklucza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dostawę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sprzętu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bCs/>
          <w:color w:val="000000"/>
        </w:rPr>
        <w:t>powystawowego</w:t>
      </w:r>
      <w:proofErr w:type="spellEnd"/>
      <w:r w:rsidRPr="00757618">
        <w:rPr>
          <w:rFonts w:ascii="Calibri" w:eastAsia="Calibri" w:hAnsi="Calibri" w:cs="Calibri"/>
          <w:bCs/>
          <w:color w:val="000000"/>
        </w:rPr>
        <w:t>.</w:t>
      </w:r>
    </w:p>
    <w:p w14:paraId="492121BB" w14:textId="77777777" w:rsidR="00830A72" w:rsidRPr="000430B9" w:rsidRDefault="00830A72" w:rsidP="00830A72">
      <w:pPr>
        <w:numPr>
          <w:ilvl w:val="1"/>
          <w:numId w:val="31"/>
        </w:numPr>
        <w:spacing w:after="0" w:line="360" w:lineRule="auto"/>
        <w:ind w:left="788" w:hanging="431"/>
        <w:jc w:val="both"/>
        <w:rPr>
          <w:rFonts w:ascii="Calibri" w:eastAsia="Andale Sans UI" w:hAnsi="Calibri" w:cs="Calibri"/>
          <w:kern w:val="3"/>
          <w:lang w:eastAsia="ja-JP" w:bidi="fa-IR"/>
        </w:rPr>
      </w:pPr>
      <w:r w:rsidRPr="00146102">
        <w:rPr>
          <w:rFonts w:ascii="Calibri" w:eastAsia="Andale Sans UI" w:hAnsi="Calibri" w:cs="Calibri"/>
          <w:kern w:val="3"/>
          <w:lang w:eastAsia="ja-JP" w:bidi="fa-IR"/>
        </w:rPr>
        <w:t xml:space="preserve">Zamawiający udostępni </w:t>
      </w:r>
      <w:r>
        <w:rPr>
          <w:rFonts w:ascii="Calibri" w:eastAsia="Andale Sans UI" w:hAnsi="Calibri" w:cs="Calibri"/>
          <w:kern w:val="3"/>
          <w:lang w:eastAsia="ja-JP" w:bidi="fa-IR"/>
        </w:rPr>
        <w:t>po wcześniejszym kontakcie droga mailową na adres oskar.kaluza@starachowice.eu</w:t>
      </w:r>
      <w:r w:rsidRPr="00146102">
        <w:rPr>
          <w:rFonts w:ascii="Calibri" w:eastAsia="Andale Sans UI" w:hAnsi="Calibri" w:cs="Calibri"/>
          <w:kern w:val="3"/>
          <w:lang w:eastAsia="ja-JP" w:bidi="fa-IR"/>
        </w:rPr>
        <w:t xml:space="preserve">, obiekt w celu wykonania 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nieobowiązkowej </w:t>
      </w:r>
      <w:r w:rsidRPr="00146102">
        <w:rPr>
          <w:rFonts w:ascii="Calibri" w:eastAsia="Andale Sans UI" w:hAnsi="Calibri" w:cs="Calibri"/>
          <w:kern w:val="3"/>
          <w:lang w:eastAsia="ja-JP" w:bidi="fa-IR"/>
        </w:rPr>
        <w:t>„Wizji Lokalnej”</w:t>
      </w:r>
      <w:r>
        <w:rPr>
          <w:rFonts w:ascii="Calibri" w:eastAsia="Andale Sans UI" w:hAnsi="Calibri" w:cs="Calibri"/>
          <w:kern w:val="3"/>
          <w:lang w:eastAsia="ja-JP" w:bidi="fa-IR"/>
        </w:rPr>
        <w:t>.</w:t>
      </w:r>
    </w:p>
    <w:p w14:paraId="1717E611" w14:textId="77777777" w:rsidR="00830A72" w:rsidRPr="00BF0832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bCs/>
          <w:color w:val="000000"/>
        </w:rPr>
        <w:t>Zamawiający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informuje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że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sieć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szerokopasmowa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zarządzana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jest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zewnętrzną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firmę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INFOVER </w:t>
      </w:r>
      <w:proofErr w:type="spellStart"/>
      <w:r w:rsidRPr="00757618">
        <w:rPr>
          <w:rFonts w:ascii="Calibri" w:hAnsi="Calibri" w:cs="Calibri"/>
          <w:bCs/>
          <w:color w:val="000000"/>
        </w:rPr>
        <w:t>ul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</w:t>
      </w:r>
      <w:proofErr w:type="spellStart"/>
      <w:r w:rsidRPr="00757618">
        <w:rPr>
          <w:rFonts w:ascii="Calibri" w:hAnsi="Calibri" w:cs="Calibri"/>
          <w:bCs/>
          <w:color w:val="000000"/>
        </w:rPr>
        <w:t>Zagnańska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61, 25-528 Kielce, </w:t>
      </w:r>
      <w:proofErr w:type="spellStart"/>
      <w:r w:rsidRPr="00757618">
        <w:rPr>
          <w:rFonts w:ascii="Calibri" w:hAnsi="Calibri" w:cs="Calibri"/>
          <w:bCs/>
          <w:color w:val="000000"/>
        </w:rPr>
        <w:t>która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świadczy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usługi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na </w:t>
      </w:r>
      <w:proofErr w:type="spellStart"/>
      <w:r w:rsidRPr="00757618">
        <w:rPr>
          <w:rFonts w:ascii="Calibri" w:hAnsi="Calibri" w:cs="Calibri"/>
          <w:bCs/>
          <w:color w:val="000000"/>
        </w:rPr>
        <w:t>rzecz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Gminy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Starachowice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</w:t>
      </w:r>
      <w:proofErr w:type="spellStart"/>
      <w:r w:rsidRPr="00757618">
        <w:rPr>
          <w:rFonts w:ascii="Calibri" w:hAnsi="Calibri" w:cs="Calibri"/>
          <w:bCs/>
          <w:color w:val="000000"/>
        </w:rPr>
        <w:t>Wykonanie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krosowania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szaf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PDN (</w:t>
      </w:r>
      <w:proofErr w:type="spellStart"/>
      <w:r w:rsidRPr="00757618">
        <w:rPr>
          <w:rFonts w:ascii="Calibri" w:hAnsi="Calibri" w:cs="Calibri"/>
          <w:bCs/>
          <w:color w:val="000000"/>
        </w:rPr>
        <w:t>celem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wykonania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trasy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do </w:t>
      </w:r>
      <w:proofErr w:type="spellStart"/>
      <w:r w:rsidRPr="00757618">
        <w:rPr>
          <w:rFonts w:ascii="Calibri" w:hAnsi="Calibri" w:cs="Calibri"/>
          <w:bCs/>
          <w:color w:val="000000"/>
        </w:rPr>
        <w:t>serwerowni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głównej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oraz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zapasowej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)  </w:t>
      </w:r>
      <w:proofErr w:type="spellStart"/>
      <w:r w:rsidRPr="00757618">
        <w:rPr>
          <w:rFonts w:ascii="Calibri" w:hAnsi="Calibri" w:cs="Calibri"/>
          <w:bCs/>
          <w:color w:val="000000"/>
        </w:rPr>
        <w:t>oraz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wszelką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konfiguracja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usług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należy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uzgodnić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z w/w </w:t>
      </w:r>
      <w:proofErr w:type="spellStart"/>
      <w:r w:rsidRPr="00757618">
        <w:rPr>
          <w:rFonts w:ascii="Calibri" w:hAnsi="Calibri" w:cs="Calibri"/>
          <w:bCs/>
          <w:color w:val="000000"/>
        </w:rPr>
        <w:t>podmiotem</w:t>
      </w:r>
      <w:proofErr w:type="spellEnd"/>
      <w:r w:rsidRPr="00757618">
        <w:rPr>
          <w:rFonts w:ascii="Calibri" w:hAnsi="Calibri" w:cs="Calibri"/>
          <w:bCs/>
          <w:color w:val="000000"/>
        </w:rPr>
        <w:t>.</w:t>
      </w:r>
    </w:p>
    <w:p w14:paraId="0AE1D992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BF0832">
        <w:rPr>
          <w:rFonts w:ascii="Calibri" w:hAnsi="Calibri" w:cs="Calibri"/>
          <w:lang w:val="pl-PL"/>
        </w:rPr>
        <w:t>Zamawiający informuje że obiekt wraz z wyposażaniem jest objęty gwarancją. Wszelkie prace należy uzgadniać z gwarantem obiektu.   Gwarantem jest Zakład Remontowo-Budowlany Roman Olszowy,  mający siedzibę: ul. Szkolna 55, 36-147 Kosowy</w:t>
      </w:r>
      <w:r>
        <w:rPr>
          <w:rFonts w:ascii="Calibri" w:hAnsi="Calibri" w:cs="Calibri"/>
          <w:lang w:val="pl-PL"/>
        </w:rPr>
        <w:t>.</w:t>
      </w:r>
    </w:p>
    <w:p w14:paraId="15645CC8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bCs/>
          <w:color w:val="000000"/>
        </w:rPr>
        <w:t>Jeżeli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opis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przedmiotu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zamówienia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wskazywałyby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w </w:t>
      </w:r>
      <w:proofErr w:type="spellStart"/>
      <w:r w:rsidRPr="00757618">
        <w:rPr>
          <w:rFonts w:ascii="Calibri" w:hAnsi="Calibri" w:cs="Calibri"/>
          <w:bCs/>
          <w:color w:val="000000"/>
        </w:rPr>
        <w:t>odniesieniu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do </w:t>
      </w:r>
      <w:proofErr w:type="spellStart"/>
      <w:r w:rsidRPr="00757618">
        <w:rPr>
          <w:rFonts w:ascii="Calibri" w:hAnsi="Calibri" w:cs="Calibri"/>
          <w:bCs/>
          <w:color w:val="000000"/>
        </w:rPr>
        <w:t>niektórych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materiałów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lub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urządzeń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znaki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towarowe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patenty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lub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pochodzenie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– </w:t>
      </w:r>
      <w:proofErr w:type="spellStart"/>
      <w:r w:rsidRPr="00757618">
        <w:rPr>
          <w:rFonts w:ascii="Calibri" w:hAnsi="Calibri" w:cs="Calibri"/>
          <w:bCs/>
          <w:color w:val="000000"/>
        </w:rPr>
        <w:t>Zamawiający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dopuszcza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oferowanie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materiałów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lub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urządzeń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równoważnych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</w:t>
      </w:r>
      <w:proofErr w:type="spellStart"/>
      <w:r w:rsidRPr="00757618">
        <w:rPr>
          <w:rFonts w:ascii="Calibri" w:hAnsi="Calibri" w:cs="Calibri"/>
          <w:bCs/>
          <w:color w:val="000000"/>
        </w:rPr>
        <w:t>Materiały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lub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urządzenia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pochodzące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od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konkretnych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producentów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określają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minimalne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parametry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jakościowe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cechy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użytkowe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jakim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musza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odpowiadać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materiały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lub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urządzenia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oferowane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Wykonawcę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aby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spełnione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zostały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wymagania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stawiane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Zmawiającego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</w:t>
      </w:r>
      <w:proofErr w:type="spellStart"/>
      <w:r w:rsidRPr="00757618">
        <w:rPr>
          <w:rFonts w:ascii="Calibri" w:hAnsi="Calibri" w:cs="Calibri"/>
          <w:bCs/>
          <w:color w:val="000000"/>
        </w:rPr>
        <w:t>Materiały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i </w:t>
      </w:r>
      <w:proofErr w:type="spellStart"/>
      <w:r w:rsidRPr="00757618">
        <w:rPr>
          <w:rFonts w:ascii="Calibri" w:hAnsi="Calibri" w:cs="Calibri"/>
          <w:bCs/>
          <w:color w:val="000000"/>
        </w:rPr>
        <w:t>urządzenia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pochodzące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od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konkretnych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producentów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stanowią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wyłącznie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wzorzec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jakościowy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przedmiotu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zamówienia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Pod </w:t>
      </w:r>
      <w:proofErr w:type="spellStart"/>
      <w:r w:rsidRPr="00757618">
        <w:rPr>
          <w:rFonts w:ascii="Calibri" w:hAnsi="Calibri" w:cs="Calibri"/>
          <w:bCs/>
          <w:color w:val="000000"/>
        </w:rPr>
        <w:t>pojęciem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„</w:t>
      </w:r>
      <w:proofErr w:type="spellStart"/>
      <w:r w:rsidRPr="00757618">
        <w:rPr>
          <w:rFonts w:ascii="Calibri" w:hAnsi="Calibri" w:cs="Calibri"/>
          <w:bCs/>
          <w:color w:val="000000"/>
        </w:rPr>
        <w:t>minimalne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parametry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jakościowe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i </w:t>
      </w:r>
      <w:proofErr w:type="spellStart"/>
      <w:r w:rsidRPr="00757618">
        <w:rPr>
          <w:rFonts w:ascii="Calibri" w:hAnsi="Calibri" w:cs="Calibri"/>
          <w:bCs/>
          <w:color w:val="000000"/>
        </w:rPr>
        <w:t>cechy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użytkowe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” </w:t>
      </w:r>
      <w:proofErr w:type="spellStart"/>
      <w:r w:rsidRPr="00757618">
        <w:rPr>
          <w:rFonts w:ascii="Calibri" w:hAnsi="Calibri" w:cs="Calibri"/>
          <w:bCs/>
          <w:color w:val="000000"/>
        </w:rPr>
        <w:t>Zamawiający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rozumie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wymagania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dotyczące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materiałów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lub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urządzeń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zawarte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w </w:t>
      </w:r>
      <w:proofErr w:type="spellStart"/>
      <w:r w:rsidRPr="00757618">
        <w:rPr>
          <w:rFonts w:ascii="Calibri" w:hAnsi="Calibri" w:cs="Calibri"/>
          <w:bCs/>
          <w:color w:val="000000"/>
        </w:rPr>
        <w:t>ogólnie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dostępnych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źródłach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katalogach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stronach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internetowych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producentów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</w:t>
      </w:r>
      <w:proofErr w:type="spellStart"/>
      <w:r w:rsidRPr="00757618">
        <w:rPr>
          <w:rFonts w:ascii="Calibri" w:hAnsi="Calibri" w:cs="Calibri"/>
          <w:bCs/>
          <w:color w:val="000000"/>
        </w:rPr>
        <w:t>Operowanie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przykładowymi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nazwami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producenta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ma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na </w:t>
      </w:r>
      <w:proofErr w:type="spellStart"/>
      <w:r w:rsidRPr="00757618">
        <w:rPr>
          <w:rFonts w:ascii="Calibri" w:hAnsi="Calibri" w:cs="Calibri"/>
          <w:bCs/>
          <w:color w:val="000000"/>
        </w:rPr>
        <w:t>celu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doprecyzowanie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poziomu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oczekiwań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Zamawiającego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w </w:t>
      </w:r>
      <w:proofErr w:type="spellStart"/>
      <w:r w:rsidRPr="00757618">
        <w:rPr>
          <w:rFonts w:ascii="Calibri" w:hAnsi="Calibri" w:cs="Calibri"/>
          <w:bCs/>
          <w:color w:val="000000"/>
        </w:rPr>
        <w:t>stosunku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do </w:t>
      </w:r>
      <w:proofErr w:type="spellStart"/>
      <w:r w:rsidRPr="00757618">
        <w:rPr>
          <w:rFonts w:ascii="Calibri" w:hAnsi="Calibri" w:cs="Calibri"/>
          <w:bCs/>
          <w:color w:val="000000"/>
        </w:rPr>
        <w:t>określonego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rozwiązania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</w:t>
      </w:r>
      <w:proofErr w:type="spellStart"/>
      <w:r w:rsidRPr="00757618">
        <w:rPr>
          <w:rFonts w:ascii="Calibri" w:hAnsi="Calibri" w:cs="Calibri"/>
          <w:bCs/>
          <w:color w:val="000000"/>
        </w:rPr>
        <w:t>Posługiwanie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się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nazwami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produktów</w:t>
      </w:r>
      <w:proofErr w:type="spellEnd"/>
      <w:r w:rsidRPr="00757618">
        <w:rPr>
          <w:rFonts w:ascii="Calibri" w:hAnsi="Calibri" w:cs="Calibri"/>
          <w:bCs/>
          <w:color w:val="000000"/>
        </w:rPr>
        <w:t>/</w:t>
      </w:r>
      <w:proofErr w:type="spellStart"/>
      <w:r w:rsidRPr="00757618">
        <w:rPr>
          <w:rFonts w:ascii="Calibri" w:hAnsi="Calibri" w:cs="Calibri"/>
          <w:bCs/>
          <w:color w:val="000000"/>
        </w:rPr>
        <w:t>producentów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ma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wyłącznie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charakter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przykładowy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</w:t>
      </w:r>
      <w:proofErr w:type="spellStart"/>
      <w:r w:rsidRPr="00757618">
        <w:rPr>
          <w:rFonts w:ascii="Calibri" w:hAnsi="Calibri" w:cs="Calibri"/>
          <w:bCs/>
          <w:color w:val="000000"/>
        </w:rPr>
        <w:t>Zamawiający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lastRenderedPageBreak/>
        <w:t>wskazując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oznaczenie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konkretnego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producenta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(</w:t>
      </w:r>
      <w:proofErr w:type="spellStart"/>
      <w:r w:rsidRPr="00757618">
        <w:rPr>
          <w:rFonts w:ascii="Calibri" w:hAnsi="Calibri" w:cs="Calibri"/>
          <w:bCs/>
          <w:color w:val="000000"/>
        </w:rPr>
        <w:t>dostawcy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) </w:t>
      </w:r>
      <w:proofErr w:type="spellStart"/>
      <w:r w:rsidRPr="00757618">
        <w:rPr>
          <w:rFonts w:ascii="Calibri" w:hAnsi="Calibri" w:cs="Calibri"/>
          <w:bCs/>
          <w:color w:val="000000"/>
        </w:rPr>
        <w:t>lub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konkretny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produkt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w </w:t>
      </w:r>
      <w:proofErr w:type="spellStart"/>
      <w:r w:rsidRPr="00757618">
        <w:rPr>
          <w:rFonts w:ascii="Calibri" w:hAnsi="Calibri" w:cs="Calibri"/>
          <w:bCs/>
          <w:color w:val="000000"/>
        </w:rPr>
        <w:t>opisie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przedmiotu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zamówienia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dopuszcza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jednocześnie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produkty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równoważne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o </w:t>
      </w:r>
      <w:proofErr w:type="spellStart"/>
      <w:r w:rsidRPr="00757618">
        <w:rPr>
          <w:rFonts w:ascii="Calibri" w:hAnsi="Calibri" w:cs="Calibri"/>
          <w:bCs/>
          <w:color w:val="000000"/>
        </w:rPr>
        <w:t>parametrach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użytkowych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i </w:t>
      </w:r>
      <w:proofErr w:type="spellStart"/>
      <w:r w:rsidRPr="00757618">
        <w:rPr>
          <w:rFonts w:ascii="Calibri" w:hAnsi="Calibri" w:cs="Calibri"/>
          <w:bCs/>
          <w:color w:val="000000"/>
        </w:rPr>
        <w:t>cechach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jakościowych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co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najmniej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na </w:t>
      </w:r>
      <w:proofErr w:type="spellStart"/>
      <w:r w:rsidRPr="00757618">
        <w:rPr>
          <w:rFonts w:ascii="Calibri" w:hAnsi="Calibri" w:cs="Calibri"/>
          <w:bCs/>
          <w:color w:val="000000"/>
        </w:rPr>
        <w:t>poziomie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parametrów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wskazanego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produktu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uznając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tym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samym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każdy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produkt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o </w:t>
      </w:r>
      <w:proofErr w:type="spellStart"/>
      <w:r w:rsidRPr="00757618">
        <w:rPr>
          <w:rFonts w:ascii="Calibri" w:hAnsi="Calibri" w:cs="Calibri"/>
          <w:bCs/>
          <w:color w:val="000000"/>
        </w:rPr>
        <w:t>wskazanych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lub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lepszych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parametrach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. </w:t>
      </w:r>
    </w:p>
    <w:p w14:paraId="4648149C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r w:rsidRPr="00757618">
        <w:rPr>
          <w:rFonts w:ascii="Calibri" w:hAnsi="Calibri" w:cs="Calibri"/>
          <w:bCs/>
          <w:color w:val="000000"/>
        </w:rPr>
        <w:t xml:space="preserve">W </w:t>
      </w:r>
      <w:proofErr w:type="spellStart"/>
      <w:r w:rsidRPr="00757618">
        <w:rPr>
          <w:rFonts w:ascii="Calibri" w:hAnsi="Calibri" w:cs="Calibri"/>
          <w:bCs/>
          <w:color w:val="000000"/>
        </w:rPr>
        <w:t>każdym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przypadku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gdy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Zamawiający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opisuje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przedmiot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zamówienia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poprzez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odniesienie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do </w:t>
      </w:r>
      <w:proofErr w:type="spellStart"/>
      <w:r w:rsidRPr="00757618">
        <w:rPr>
          <w:rFonts w:ascii="Calibri" w:hAnsi="Calibri" w:cs="Calibri"/>
          <w:bCs/>
          <w:color w:val="000000"/>
        </w:rPr>
        <w:t>norm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europejskich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ocen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technicznych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aprobat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specyfikacji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technicznych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i </w:t>
      </w:r>
      <w:proofErr w:type="spellStart"/>
      <w:r w:rsidRPr="00757618">
        <w:rPr>
          <w:rFonts w:ascii="Calibri" w:hAnsi="Calibri" w:cs="Calibri"/>
          <w:bCs/>
          <w:color w:val="000000"/>
        </w:rPr>
        <w:t>systemów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referencji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technicznych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dopuszcza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rozwiązania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równoważne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opisywanym</w:t>
      </w:r>
      <w:proofErr w:type="spellEnd"/>
      <w:r w:rsidRPr="00757618">
        <w:rPr>
          <w:rFonts w:ascii="Calibri" w:hAnsi="Calibri" w:cs="Calibri"/>
          <w:bCs/>
          <w:color w:val="000000"/>
        </w:rPr>
        <w:t>.</w:t>
      </w:r>
    </w:p>
    <w:p w14:paraId="564B881A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bCs/>
          <w:color w:val="000000"/>
        </w:rPr>
        <w:t>Wykonawca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który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powołuje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się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na </w:t>
      </w:r>
      <w:proofErr w:type="spellStart"/>
      <w:r w:rsidRPr="00757618">
        <w:rPr>
          <w:rFonts w:ascii="Calibri" w:hAnsi="Calibri" w:cs="Calibri"/>
          <w:bCs/>
          <w:color w:val="000000"/>
        </w:rPr>
        <w:t>rozwiązania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równoważne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opisanym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Zamawiającego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jest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zobowiązany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wykazać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757618">
        <w:rPr>
          <w:rFonts w:ascii="Calibri" w:hAnsi="Calibri" w:cs="Calibri"/>
          <w:bCs/>
          <w:color w:val="000000"/>
        </w:rPr>
        <w:t>że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oferowane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niego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dostawy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spełniają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wymagania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określone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przez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Zamawiającego</w:t>
      </w:r>
      <w:proofErr w:type="spellEnd"/>
      <w:r w:rsidRPr="00757618">
        <w:rPr>
          <w:rFonts w:ascii="Calibri" w:hAnsi="Calibri" w:cs="Calibri"/>
          <w:bCs/>
          <w:color w:val="000000"/>
        </w:rPr>
        <w:t>.</w:t>
      </w:r>
    </w:p>
    <w:p w14:paraId="2AB128B6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bCs/>
          <w:color w:val="000000"/>
        </w:rPr>
        <w:t>Wykonawca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zobowiązany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jest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dołączyć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do </w:t>
      </w:r>
      <w:proofErr w:type="spellStart"/>
      <w:r w:rsidRPr="00757618">
        <w:rPr>
          <w:rFonts w:ascii="Calibri" w:hAnsi="Calibri" w:cs="Calibri"/>
          <w:bCs/>
          <w:color w:val="000000"/>
        </w:rPr>
        <w:t>oferty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specyfikację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dotyczącą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parametrów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technicznych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oferowanego</w:t>
      </w:r>
      <w:proofErr w:type="spellEnd"/>
      <w:r w:rsidRPr="00757618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757618">
        <w:rPr>
          <w:rFonts w:ascii="Calibri" w:hAnsi="Calibri" w:cs="Calibri"/>
          <w:bCs/>
          <w:color w:val="000000"/>
        </w:rPr>
        <w:t>sprzętu</w:t>
      </w:r>
      <w:proofErr w:type="spellEnd"/>
      <w:r w:rsidRPr="00757618">
        <w:rPr>
          <w:rFonts w:ascii="Calibri" w:hAnsi="Calibri" w:cs="Calibri"/>
          <w:bCs/>
          <w:color w:val="000000"/>
        </w:rPr>
        <w:t>.</w:t>
      </w:r>
    </w:p>
    <w:p w14:paraId="69738ABB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color w:val="00000A"/>
        </w:rPr>
        <w:t>Oferowany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przedmiot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zamówienia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musi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być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r w:rsidRPr="00757618">
        <w:rPr>
          <w:rFonts w:ascii="Calibri" w:hAnsi="Calibri" w:cs="Calibri"/>
        </w:rPr>
        <w:t xml:space="preserve">w I </w:t>
      </w:r>
      <w:proofErr w:type="spellStart"/>
      <w:r w:rsidRPr="00757618">
        <w:rPr>
          <w:rFonts w:ascii="Calibri" w:hAnsi="Calibri" w:cs="Calibri"/>
        </w:rPr>
        <w:t>gatunku</w:t>
      </w:r>
      <w:proofErr w:type="spellEnd"/>
      <w:r w:rsidRPr="00757618">
        <w:rPr>
          <w:rFonts w:ascii="Calibri" w:hAnsi="Calibri" w:cs="Calibri"/>
          <w:color w:val="00000A"/>
        </w:rPr>
        <w:t xml:space="preserve">, </w:t>
      </w:r>
      <w:proofErr w:type="spellStart"/>
      <w:r w:rsidRPr="00757618">
        <w:rPr>
          <w:rFonts w:ascii="Calibri" w:hAnsi="Calibri" w:cs="Calibri"/>
          <w:color w:val="00000A"/>
        </w:rPr>
        <w:t>nieuszkodzony</w:t>
      </w:r>
      <w:proofErr w:type="spellEnd"/>
      <w:r w:rsidRPr="00757618">
        <w:rPr>
          <w:rFonts w:ascii="Calibri" w:hAnsi="Calibri" w:cs="Calibri"/>
          <w:color w:val="00000A"/>
        </w:rPr>
        <w:t xml:space="preserve">, </w:t>
      </w:r>
      <w:proofErr w:type="spellStart"/>
      <w:r w:rsidRPr="00757618">
        <w:rPr>
          <w:rFonts w:ascii="Calibri" w:hAnsi="Calibri" w:cs="Calibri"/>
        </w:rPr>
        <w:t>wolny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od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wad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fizycznych</w:t>
      </w:r>
      <w:proofErr w:type="spellEnd"/>
      <w:r w:rsidRPr="00757618">
        <w:rPr>
          <w:rFonts w:ascii="Calibri" w:hAnsi="Calibri" w:cs="Calibri"/>
        </w:rPr>
        <w:t xml:space="preserve"> i </w:t>
      </w:r>
      <w:proofErr w:type="spellStart"/>
      <w:r w:rsidRPr="00757618">
        <w:rPr>
          <w:rFonts w:ascii="Calibri" w:hAnsi="Calibri" w:cs="Calibri"/>
        </w:rPr>
        <w:t>prawnych</w:t>
      </w:r>
      <w:proofErr w:type="spellEnd"/>
      <w:r w:rsidRPr="00757618">
        <w:rPr>
          <w:rFonts w:ascii="Calibri" w:hAnsi="Calibri" w:cs="Calibri"/>
        </w:rPr>
        <w:t xml:space="preserve">, w </w:t>
      </w:r>
      <w:proofErr w:type="spellStart"/>
      <w:r w:rsidRPr="00757618">
        <w:rPr>
          <w:rFonts w:ascii="Calibri" w:hAnsi="Calibri" w:cs="Calibri"/>
        </w:rPr>
        <w:t>pełni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sprawny</w:t>
      </w:r>
      <w:proofErr w:type="spellEnd"/>
      <w:r w:rsidRPr="00757618">
        <w:rPr>
          <w:rFonts w:ascii="Calibri" w:hAnsi="Calibri" w:cs="Calibri"/>
        </w:rPr>
        <w:t xml:space="preserve"> i </w:t>
      </w:r>
      <w:proofErr w:type="spellStart"/>
      <w:r w:rsidRPr="00757618">
        <w:rPr>
          <w:rFonts w:ascii="Calibri" w:hAnsi="Calibri" w:cs="Calibri"/>
        </w:rPr>
        <w:t>funkcjonujący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bez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jakichkolwiek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zakłóceń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oraz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zastrzeżeń</w:t>
      </w:r>
      <w:proofErr w:type="spellEnd"/>
      <w:r w:rsidRPr="00757618">
        <w:rPr>
          <w:rFonts w:ascii="Calibri" w:hAnsi="Calibri" w:cs="Calibri"/>
        </w:rPr>
        <w:t>.</w:t>
      </w:r>
      <w:r w:rsidRPr="00757618">
        <w:rPr>
          <w:rFonts w:ascii="Calibri" w:eastAsia="Times New Roman" w:hAnsi="Calibri" w:cs="Calibri"/>
          <w:bCs/>
        </w:rPr>
        <w:t xml:space="preserve"> </w:t>
      </w:r>
      <w:proofErr w:type="spellStart"/>
      <w:r w:rsidRPr="00757618">
        <w:rPr>
          <w:rFonts w:ascii="Calibri" w:eastAsia="Times New Roman" w:hAnsi="Calibri" w:cs="Calibri"/>
          <w:bCs/>
        </w:rPr>
        <w:t>Przedmiot</w:t>
      </w:r>
      <w:proofErr w:type="spellEnd"/>
      <w:r w:rsidRPr="00757618">
        <w:rPr>
          <w:rFonts w:ascii="Calibri" w:eastAsia="Times New Roman" w:hAnsi="Calibri" w:cs="Calibri"/>
          <w:bCs/>
        </w:rPr>
        <w:t xml:space="preserve"> </w:t>
      </w:r>
      <w:proofErr w:type="spellStart"/>
      <w:r w:rsidRPr="00757618">
        <w:rPr>
          <w:rFonts w:ascii="Calibri" w:eastAsia="Times New Roman" w:hAnsi="Calibri" w:cs="Calibri"/>
          <w:bCs/>
        </w:rPr>
        <w:t>zamówienia</w:t>
      </w:r>
      <w:proofErr w:type="spellEnd"/>
      <w:r w:rsidRPr="00757618">
        <w:rPr>
          <w:rFonts w:ascii="Calibri" w:eastAsia="Times New Roman" w:hAnsi="Calibri" w:cs="Calibri"/>
          <w:bCs/>
        </w:rPr>
        <w:t xml:space="preserve"> nie </w:t>
      </w:r>
      <w:proofErr w:type="spellStart"/>
      <w:r w:rsidRPr="00757618">
        <w:rPr>
          <w:rFonts w:ascii="Calibri" w:eastAsia="Times New Roman" w:hAnsi="Calibri" w:cs="Calibri"/>
          <w:bCs/>
        </w:rPr>
        <w:t>może</w:t>
      </w:r>
      <w:proofErr w:type="spellEnd"/>
      <w:r w:rsidRPr="00757618">
        <w:rPr>
          <w:rFonts w:ascii="Calibri" w:eastAsia="Times New Roman" w:hAnsi="Calibri" w:cs="Calibri"/>
          <w:bCs/>
        </w:rPr>
        <w:t xml:space="preserve"> </w:t>
      </w:r>
      <w:proofErr w:type="spellStart"/>
      <w:r w:rsidRPr="00757618">
        <w:rPr>
          <w:rFonts w:ascii="Calibri" w:eastAsia="Times New Roman" w:hAnsi="Calibri" w:cs="Calibri"/>
          <w:bCs/>
        </w:rPr>
        <w:t>pochodzić</w:t>
      </w:r>
      <w:proofErr w:type="spellEnd"/>
      <w:r w:rsidRPr="00757618">
        <w:rPr>
          <w:rFonts w:ascii="Calibri" w:eastAsia="Times New Roman" w:hAnsi="Calibri" w:cs="Calibri"/>
          <w:bCs/>
        </w:rPr>
        <w:t xml:space="preserve"> z </w:t>
      </w:r>
      <w:proofErr w:type="spellStart"/>
      <w:r w:rsidRPr="00757618">
        <w:rPr>
          <w:rFonts w:ascii="Calibri" w:eastAsia="Times New Roman" w:hAnsi="Calibri" w:cs="Calibri"/>
          <w:bCs/>
        </w:rPr>
        <w:t>żadnych</w:t>
      </w:r>
      <w:proofErr w:type="spellEnd"/>
      <w:r w:rsidRPr="00757618">
        <w:rPr>
          <w:rFonts w:ascii="Calibri" w:eastAsia="Times New Roman" w:hAnsi="Calibri" w:cs="Calibri"/>
          <w:bCs/>
        </w:rPr>
        <w:t xml:space="preserve"> </w:t>
      </w:r>
      <w:proofErr w:type="spellStart"/>
      <w:r w:rsidRPr="00757618">
        <w:rPr>
          <w:rFonts w:ascii="Calibri" w:eastAsia="Times New Roman" w:hAnsi="Calibri" w:cs="Calibri"/>
          <w:bCs/>
        </w:rPr>
        <w:t>pokazów</w:t>
      </w:r>
      <w:proofErr w:type="spellEnd"/>
      <w:r w:rsidRPr="00757618">
        <w:rPr>
          <w:rFonts w:ascii="Calibri" w:eastAsia="Times New Roman" w:hAnsi="Calibri" w:cs="Calibri"/>
          <w:bCs/>
        </w:rPr>
        <w:t xml:space="preserve"> </w:t>
      </w:r>
      <w:proofErr w:type="spellStart"/>
      <w:r w:rsidRPr="00757618">
        <w:rPr>
          <w:rFonts w:ascii="Calibri" w:eastAsia="Times New Roman" w:hAnsi="Calibri" w:cs="Calibri"/>
          <w:bCs/>
        </w:rPr>
        <w:t>ani</w:t>
      </w:r>
      <w:proofErr w:type="spellEnd"/>
      <w:r w:rsidRPr="00757618">
        <w:rPr>
          <w:rFonts w:ascii="Calibri" w:eastAsia="Times New Roman" w:hAnsi="Calibri" w:cs="Calibri"/>
          <w:bCs/>
        </w:rPr>
        <w:t xml:space="preserve"> </w:t>
      </w:r>
      <w:proofErr w:type="spellStart"/>
      <w:r w:rsidRPr="00757618">
        <w:rPr>
          <w:rFonts w:ascii="Calibri" w:eastAsia="Times New Roman" w:hAnsi="Calibri" w:cs="Calibri"/>
          <w:bCs/>
        </w:rPr>
        <w:t>wystaw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pozbawiony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praw</w:t>
      </w:r>
      <w:proofErr w:type="spellEnd"/>
      <w:r w:rsidRPr="00757618">
        <w:rPr>
          <w:rFonts w:ascii="Calibri" w:hAnsi="Calibri" w:cs="Calibri"/>
        </w:rPr>
        <w:t xml:space="preserve"> i </w:t>
      </w:r>
      <w:proofErr w:type="spellStart"/>
      <w:r w:rsidRPr="00757618">
        <w:rPr>
          <w:rFonts w:ascii="Calibri" w:hAnsi="Calibri" w:cs="Calibri"/>
        </w:rPr>
        <w:t>obciążeń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osób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trzecich</w:t>
      </w:r>
      <w:proofErr w:type="spellEnd"/>
      <w:r w:rsidRPr="00757618">
        <w:rPr>
          <w:rFonts w:ascii="Calibri" w:hAnsi="Calibri" w:cs="Calibri"/>
        </w:rPr>
        <w:t xml:space="preserve">, </w:t>
      </w:r>
      <w:r w:rsidRPr="00757618">
        <w:rPr>
          <w:rFonts w:ascii="Calibri" w:hAnsi="Calibri" w:cs="Calibri"/>
          <w:color w:val="00000A"/>
        </w:rPr>
        <w:t xml:space="preserve">a </w:t>
      </w:r>
      <w:proofErr w:type="spellStart"/>
      <w:r w:rsidRPr="00757618">
        <w:rPr>
          <w:rFonts w:ascii="Calibri" w:hAnsi="Calibri" w:cs="Calibri"/>
          <w:color w:val="00000A"/>
        </w:rPr>
        <w:t>także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odpowiadający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obowiązującym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normom</w:t>
      </w:r>
      <w:proofErr w:type="spellEnd"/>
      <w:r w:rsidRPr="00757618">
        <w:rPr>
          <w:rFonts w:ascii="Calibri" w:hAnsi="Calibri" w:cs="Calibri"/>
          <w:color w:val="00000A"/>
        </w:rPr>
        <w:t xml:space="preserve"> i </w:t>
      </w:r>
      <w:proofErr w:type="spellStart"/>
      <w:r w:rsidRPr="00757618">
        <w:rPr>
          <w:rFonts w:ascii="Calibri" w:hAnsi="Calibri" w:cs="Calibri"/>
          <w:color w:val="00000A"/>
        </w:rPr>
        <w:t>posiadający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niezbędne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certyfikaty</w:t>
      </w:r>
      <w:proofErr w:type="spellEnd"/>
      <w:r w:rsidRPr="00757618">
        <w:rPr>
          <w:rFonts w:ascii="Calibri" w:hAnsi="Calibri" w:cs="Calibri"/>
          <w:color w:val="00000A"/>
        </w:rPr>
        <w:t xml:space="preserve"> i </w:t>
      </w:r>
      <w:proofErr w:type="spellStart"/>
      <w:r w:rsidRPr="00757618">
        <w:rPr>
          <w:rFonts w:ascii="Calibri" w:hAnsi="Calibri" w:cs="Calibri"/>
          <w:color w:val="00000A"/>
        </w:rPr>
        <w:t>atesty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zgodnie</w:t>
      </w:r>
      <w:proofErr w:type="spellEnd"/>
      <w:r w:rsidRPr="00757618">
        <w:rPr>
          <w:rFonts w:ascii="Calibri" w:hAnsi="Calibri" w:cs="Calibri"/>
          <w:color w:val="00000A"/>
        </w:rPr>
        <w:t xml:space="preserve"> z </w:t>
      </w:r>
      <w:proofErr w:type="spellStart"/>
      <w:r w:rsidRPr="00757618">
        <w:rPr>
          <w:rFonts w:ascii="Calibri" w:hAnsi="Calibri" w:cs="Calibri"/>
          <w:color w:val="00000A"/>
        </w:rPr>
        <w:t>obowiązującymi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przepisami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prawa</w:t>
      </w:r>
      <w:proofErr w:type="spellEnd"/>
      <w:r w:rsidRPr="00757618">
        <w:rPr>
          <w:rFonts w:ascii="Calibri" w:hAnsi="Calibri" w:cs="Calibri"/>
          <w:color w:val="00000A"/>
        </w:rPr>
        <w:t xml:space="preserve">, </w:t>
      </w:r>
      <w:proofErr w:type="spellStart"/>
      <w:r w:rsidRPr="00757618">
        <w:rPr>
          <w:rFonts w:ascii="Calibri" w:hAnsi="Calibri" w:cs="Calibri"/>
          <w:color w:val="00000A"/>
        </w:rPr>
        <w:t>które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zostaną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przekazane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Zamawiającemu</w:t>
      </w:r>
      <w:proofErr w:type="spellEnd"/>
      <w:r w:rsidRPr="00757618">
        <w:rPr>
          <w:rFonts w:ascii="Calibri" w:hAnsi="Calibri" w:cs="Calibri"/>
          <w:color w:val="00000A"/>
        </w:rPr>
        <w:t xml:space="preserve"> w </w:t>
      </w:r>
      <w:proofErr w:type="spellStart"/>
      <w:r w:rsidRPr="00757618">
        <w:rPr>
          <w:rFonts w:ascii="Calibri" w:hAnsi="Calibri" w:cs="Calibri"/>
          <w:color w:val="00000A"/>
        </w:rPr>
        <w:t>dniu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dostawy</w:t>
      </w:r>
      <w:proofErr w:type="spellEnd"/>
      <w:r w:rsidRPr="00757618">
        <w:rPr>
          <w:rFonts w:ascii="Calibri" w:hAnsi="Calibri" w:cs="Calibri"/>
          <w:color w:val="00000A"/>
        </w:rPr>
        <w:t>.</w:t>
      </w:r>
    </w:p>
    <w:p w14:paraId="109E261E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color w:val="00000A"/>
        </w:rPr>
        <w:t>Wykonawca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dostarczy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przedmiot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zamówienia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kompletny</w:t>
      </w:r>
      <w:proofErr w:type="spellEnd"/>
      <w:r w:rsidRPr="00757618">
        <w:rPr>
          <w:rFonts w:ascii="Calibri" w:hAnsi="Calibri" w:cs="Calibri"/>
          <w:color w:val="00000A"/>
        </w:rPr>
        <w:t xml:space="preserve">, </w:t>
      </w:r>
      <w:proofErr w:type="spellStart"/>
      <w:r w:rsidRPr="00757618">
        <w:rPr>
          <w:rFonts w:ascii="Calibri" w:hAnsi="Calibri" w:cs="Calibri"/>
          <w:color w:val="00000A"/>
        </w:rPr>
        <w:t>gotowy</w:t>
      </w:r>
      <w:proofErr w:type="spellEnd"/>
      <w:r w:rsidRPr="00757618">
        <w:rPr>
          <w:rFonts w:ascii="Calibri" w:hAnsi="Calibri" w:cs="Calibri"/>
          <w:color w:val="00000A"/>
        </w:rPr>
        <w:t xml:space="preserve"> do </w:t>
      </w:r>
      <w:proofErr w:type="spellStart"/>
      <w:r w:rsidRPr="00757618">
        <w:rPr>
          <w:rFonts w:ascii="Calibri" w:hAnsi="Calibri" w:cs="Calibri"/>
          <w:color w:val="00000A"/>
        </w:rPr>
        <w:t>uruchomienia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r w:rsidRPr="00757618">
        <w:rPr>
          <w:rFonts w:ascii="Calibri" w:hAnsi="Calibri" w:cs="Calibri"/>
          <w:color w:val="00000A"/>
        </w:rPr>
        <w:br/>
        <w:t xml:space="preserve">i </w:t>
      </w:r>
      <w:proofErr w:type="spellStart"/>
      <w:r w:rsidRPr="00757618">
        <w:rPr>
          <w:rFonts w:ascii="Calibri" w:hAnsi="Calibri" w:cs="Calibri"/>
          <w:color w:val="00000A"/>
        </w:rPr>
        <w:t>użytkowania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bez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dodatkowych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nakładów</w:t>
      </w:r>
      <w:proofErr w:type="spellEnd"/>
      <w:r w:rsidRPr="00757618">
        <w:rPr>
          <w:rFonts w:ascii="Calibri" w:hAnsi="Calibri" w:cs="Calibri"/>
          <w:color w:val="00000A"/>
        </w:rPr>
        <w:t xml:space="preserve"> i </w:t>
      </w:r>
      <w:proofErr w:type="spellStart"/>
      <w:r w:rsidRPr="00757618">
        <w:rPr>
          <w:rFonts w:ascii="Calibri" w:hAnsi="Calibri" w:cs="Calibri"/>
          <w:color w:val="00000A"/>
        </w:rPr>
        <w:t>zakupów</w:t>
      </w:r>
      <w:proofErr w:type="spellEnd"/>
      <w:r w:rsidRPr="00757618">
        <w:rPr>
          <w:rFonts w:ascii="Calibri" w:hAnsi="Calibri" w:cs="Calibri"/>
          <w:color w:val="00000A"/>
        </w:rPr>
        <w:t>.</w:t>
      </w:r>
    </w:p>
    <w:p w14:paraId="1E28FBE2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color w:val="00000A"/>
        </w:rPr>
        <w:t>Wykonawca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dostarczy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przedmiot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zamówienia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dopuszczony</w:t>
      </w:r>
      <w:proofErr w:type="spellEnd"/>
      <w:r w:rsidRPr="00757618">
        <w:rPr>
          <w:rFonts w:ascii="Calibri" w:hAnsi="Calibri" w:cs="Calibri"/>
          <w:color w:val="00000A"/>
        </w:rPr>
        <w:t xml:space="preserve"> do </w:t>
      </w:r>
      <w:proofErr w:type="spellStart"/>
      <w:r w:rsidRPr="00757618">
        <w:rPr>
          <w:rFonts w:ascii="Calibri" w:hAnsi="Calibri" w:cs="Calibri"/>
          <w:color w:val="00000A"/>
        </w:rPr>
        <w:t>obrotu</w:t>
      </w:r>
      <w:proofErr w:type="spellEnd"/>
      <w:r w:rsidRPr="00757618">
        <w:rPr>
          <w:rFonts w:ascii="Calibri" w:hAnsi="Calibri" w:cs="Calibri"/>
          <w:color w:val="00000A"/>
        </w:rPr>
        <w:t xml:space="preserve"> i </w:t>
      </w:r>
      <w:proofErr w:type="spellStart"/>
      <w:r w:rsidRPr="00757618">
        <w:rPr>
          <w:rFonts w:ascii="Calibri" w:hAnsi="Calibri" w:cs="Calibri"/>
          <w:color w:val="00000A"/>
        </w:rPr>
        <w:t>stosowania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r w:rsidRPr="00757618">
        <w:rPr>
          <w:rFonts w:ascii="Calibri" w:hAnsi="Calibri" w:cs="Calibri"/>
          <w:color w:val="00000A"/>
        </w:rPr>
        <w:br/>
        <w:t xml:space="preserve">w </w:t>
      </w:r>
      <w:proofErr w:type="spellStart"/>
      <w:r w:rsidRPr="00757618">
        <w:rPr>
          <w:rFonts w:ascii="Calibri" w:hAnsi="Calibri" w:cs="Calibri"/>
          <w:color w:val="00000A"/>
        </w:rPr>
        <w:t>krajach</w:t>
      </w:r>
      <w:proofErr w:type="spellEnd"/>
      <w:r w:rsidRPr="00757618">
        <w:rPr>
          <w:rFonts w:ascii="Calibri" w:hAnsi="Calibri" w:cs="Calibri"/>
          <w:color w:val="00000A"/>
        </w:rPr>
        <w:t xml:space="preserve"> UE.</w:t>
      </w:r>
    </w:p>
    <w:p w14:paraId="2553BC4F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hAnsi="Calibri" w:cs="Calibri"/>
          <w:color w:val="00000A"/>
        </w:rPr>
        <w:t>Wykonawca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dostarczy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przedmiot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zamówienia</w:t>
      </w:r>
      <w:proofErr w:type="spellEnd"/>
      <w:r w:rsidRPr="00757618">
        <w:rPr>
          <w:rFonts w:ascii="Calibri" w:hAnsi="Calibri" w:cs="Calibri"/>
          <w:color w:val="00000A"/>
        </w:rPr>
        <w:t xml:space="preserve"> na </w:t>
      </w:r>
      <w:proofErr w:type="spellStart"/>
      <w:r w:rsidRPr="00757618">
        <w:rPr>
          <w:rFonts w:ascii="Calibri" w:hAnsi="Calibri" w:cs="Calibri"/>
          <w:color w:val="00000A"/>
        </w:rPr>
        <w:t>koszt</w:t>
      </w:r>
      <w:proofErr w:type="spellEnd"/>
      <w:r w:rsidRPr="00757618">
        <w:rPr>
          <w:rFonts w:ascii="Calibri" w:hAnsi="Calibri" w:cs="Calibri"/>
          <w:color w:val="00000A"/>
        </w:rPr>
        <w:t xml:space="preserve"> </w:t>
      </w:r>
      <w:proofErr w:type="spellStart"/>
      <w:r w:rsidRPr="00757618">
        <w:rPr>
          <w:rFonts w:ascii="Calibri" w:hAnsi="Calibri" w:cs="Calibri"/>
          <w:color w:val="00000A"/>
        </w:rPr>
        <w:t>własny</w:t>
      </w:r>
      <w:proofErr w:type="spellEnd"/>
      <w:r w:rsidRPr="00757618">
        <w:rPr>
          <w:rFonts w:ascii="Calibri" w:hAnsi="Calibri" w:cs="Calibri"/>
        </w:rPr>
        <w:t xml:space="preserve"> w </w:t>
      </w:r>
      <w:proofErr w:type="spellStart"/>
      <w:r w:rsidRPr="00757618">
        <w:rPr>
          <w:rFonts w:ascii="Calibri" w:hAnsi="Calibri" w:cs="Calibri"/>
        </w:rPr>
        <w:t>opakowaniach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zabezpieczających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przed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uszkodzeniem</w:t>
      </w:r>
      <w:proofErr w:type="spellEnd"/>
      <w:r w:rsidRPr="00757618">
        <w:rPr>
          <w:rFonts w:ascii="Calibri" w:hAnsi="Calibri" w:cs="Calibri"/>
        </w:rPr>
        <w:t xml:space="preserve"> w </w:t>
      </w:r>
      <w:proofErr w:type="spellStart"/>
      <w:r w:rsidRPr="00757618">
        <w:rPr>
          <w:rFonts w:ascii="Calibri" w:hAnsi="Calibri" w:cs="Calibri"/>
        </w:rPr>
        <w:t>czasie</w:t>
      </w:r>
      <w:proofErr w:type="spellEnd"/>
      <w:r w:rsidRPr="00757618">
        <w:rPr>
          <w:rFonts w:ascii="Calibri" w:hAnsi="Calibri" w:cs="Calibri"/>
        </w:rPr>
        <w:t xml:space="preserve"> </w:t>
      </w:r>
      <w:proofErr w:type="spellStart"/>
      <w:r w:rsidRPr="00757618">
        <w:rPr>
          <w:rFonts w:ascii="Calibri" w:hAnsi="Calibri" w:cs="Calibri"/>
        </w:rPr>
        <w:t>transportu</w:t>
      </w:r>
      <w:proofErr w:type="spellEnd"/>
      <w:r w:rsidRPr="00757618">
        <w:rPr>
          <w:rFonts w:ascii="Calibri" w:hAnsi="Calibri" w:cs="Calibri"/>
        </w:rPr>
        <w:t>.</w:t>
      </w:r>
    </w:p>
    <w:p w14:paraId="186BE6D0" w14:textId="77777777" w:rsidR="00830A72" w:rsidRPr="00757618" w:rsidRDefault="00830A72" w:rsidP="00830A72">
      <w:pPr>
        <w:pStyle w:val="Standard"/>
        <w:numPr>
          <w:ilvl w:val="1"/>
          <w:numId w:val="31"/>
        </w:numPr>
        <w:autoSpaceDN/>
        <w:spacing w:before="113" w:line="360" w:lineRule="auto"/>
        <w:jc w:val="both"/>
        <w:rPr>
          <w:rFonts w:ascii="Calibri" w:hAnsi="Calibri" w:cs="Calibri"/>
          <w:lang w:val="pl-PL"/>
        </w:rPr>
      </w:pPr>
      <w:proofErr w:type="spellStart"/>
      <w:r w:rsidRPr="00757618">
        <w:rPr>
          <w:rFonts w:ascii="Calibri" w:eastAsia="Calibri" w:hAnsi="Calibri" w:cs="Calibri"/>
          <w:color w:val="000000"/>
        </w:rPr>
        <w:t>Miejsce</w:t>
      </w:r>
      <w:proofErr w:type="spellEnd"/>
      <w:r w:rsidRPr="0075761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color w:val="000000"/>
        </w:rPr>
        <w:t>dostawy</w:t>
      </w:r>
      <w:proofErr w:type="spellEnd"/>
      <w:r w:rsidRPr="00757618">
        <w:rPr>
          <w:rFonts w:ascii="Calibri" w:eastAsia="Calibri" w:hAnsi="Calibri" w:cs="Calibri"/>
          <w:color w:val="000000"/>
        </w:rPr>
        <w:t xml:space="preserve">: Centrum </w:t>
      </w:r>
      <w:proofErr w:type="spellStart"/>
      <w:r w:rsidRPr="00757618">
        <w:rPr>
          <w:rFonts w:ascii="Calibri" w:eastAsia="Calibri" w:hAnsi="Calibri" w:cs="Calibri"/>
          <w:color w:val="000000"/>
        </w:rPr>
        <w:t>Kreatywności</w:t>
      </w:r>
      <w:proofErr w:type="spellEnd"/>
      <w:r w:rsidRPr="0075761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color w:val="000000"/>
        </w:rPr>
        <w:t>Pałacyk</w:t>
      </w:r>
      <w:proofErr w:type="spellEnd"/>
      <w:r w:rsidRPr="0075761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57618">
        <w:rPr>
          <w:rFonts w:ascii="Calibri" w:eastAsia="Calibri" w:hAnsi="Calibri" w:cs="Calibri"/>
          <w:color w:val="000000"/>
        </w:rPr>
        <w:t>ul</w:t>
      </w:r>
      <w:proofErr w:type="spellEnd"/>
      <w:r w:rsidRPr="00757618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757618">
        <w:rPr>
          <w:rFonts w:ascii="Calibri" w:eastAsia="Calibri" w:hAnsi="Calibri" w:cs="Calibri"/>
          <w:color w:val="000000"/>
        </w:rPr>
        <w:t>Konstytucji</w:t>
      </w:r>
      <w:proofErr w:type="spellEnd"/>
      <w:r w:rsidRPr="00757618">
        <w:rPr>
          <w:rFonts w:ascii="Calibri" w:eastAsia="Calibri" w:hAnsi="Calibri" w:cs="Calibri"/>
          <w:color w:val="000000"/>
        </w:rPr>
        <w:t xml:space="preserve"> 3 Maja 15, 27-</w:t>
      </w:r>
      <w:r w:rsidRPr="00757618">
        <w:rPr>
          <w:rFonts w:ascii="Calibri" w:eastAsia="Calibri" w:hAnsi="Calibri" w:cs="Calibri"/>
          <w:color w:val="000000"/>
        </w:rPr>
        <w:lastRenderedPageBreak/>
        <w:t xml:space="preserve">200 </w:t>
      </w:r>
      <w:proofErr w:type="spellStart"/>
      <w:r w:rsidRPr="00757618">
        <w:rPr>
          <w:rFonts w:ascii="Calibri" w:eastAsia="Calibri" w:hAnsi="Calibri" w:cs="Calibri"/>
          <w:color w:val="000000"/>
        </w:rPr>
        <w:t>Starachowice</w:t>
      </w:r>
      <w:proofErr w:type="spellEnd"/>
      <w:r w:rsidRPr="00757618">
        <w:rPr>
          <w:rFonts w:ascii="Calibri" w:eastAsia="Calibri" w:hAnsi="Calibri" w:cs="Calibri"/>
          <w:color w:val="000000"/>
        </w:rPr>
        <w:t xml:space="preserve">, tel. 41 3221156; </w:t>
      </w:r>
      <w:proofErr w:type="spellStart"/>
      <w:r w:rsidRPr="00757618">
        <w:rPr>
          <w:rFonts w:ascii="Calibri" w:eastAsia="Calibri" w:hAnsi="Calibri" w:cs="Calibri"/>
          <w:color w:val="000000"/>
        </w:rPr>
        <w:t>email</w:t>
      </w:r>
      <w:proofErr w:type="spellEnd"/>
      <w:r w:rsidRPr="00757618">
        <w:rPr>
          <w:rFonts w:ascii="Calibri" w:eastAsia="Calibri" w:hAnsi="Calibri" w:cs="Calibri"/>
          <w:color w:val="000000"/>
        </w:rPr>
        <w:t>: palacyk@starachowice.eu</w:t>
      </w:r>
    </w:p>
    <w:p w14:paraId="56D49DFF" w14:textId="77777777" w:rsidR="00825F11" w:rsidRPr="00D745CB" w:rsidRDefault="00825F11" w:rsidP="00DF600A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5048773" w14:textId="77777777" w:rsidR="00E215F9" w:rsidRDefault="00E215F9" w:rsidP="00942239">
      <w:pPr>
        <w:spacing w:after="0"/>
        <w:jc w:val="both"/>
      </w:pPr>
    </w:p>
    <w:p w14:paraId="1ACFAC8B" w14:textId="77777777" w:rsidR="009F5CE7" w:rsidRPr="00942239" w:rsidRDefault="009F5CE7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  <w:r w:rsidRPr="00942239">
        <w:rPr>
          <w:rFonts w:eastAsia="Times New Roman" w:cs="Calibri"/>
          <w:bCs/>
          <w:kern w:val="1"/>
          <w:sz w:val="24"/>
          <w:szCs w:val="24"/>
          <w:lang w:eastAsia="ar-SA"/>
        </w:rPr>
        <w:t xml:space="preserve">Niniejsze zapytanie ma na celu wyłącznie ustalenie wartości szacunkowej właściwego zamówienia, które zostanie ogłoszone na stronie bazy konkurencyjności </w:t>
      </w:r>
      <w:hyperlink r:id="rId7" w:history="1">
        <w:r w:rsidRPr="00942239">
          <w:rPr>
            <w:rFonts w:eastAsia="Times New Roman" w:cs="Calibri"/>
            <w:bCs/>
            <w:color w:val="0563C1"/>
            <w:kern w:val="1"/>
            <w:sz w:val="24"/>
            <w:szCs w:val="24"/>
            <w:u w:val="single"/>
            <w:lang w:eastAsia="ar-SA"/>
          </w:rPr>
          <w:t>https://bazakonkurencyjnosci.funduszeeuropejskie.gov.pl</w:t>
        </w:r>
      </w:hyperlink>
      <w:r w:rsidRPr="00942239">
        <w:rPr>
          <w:rFonts w:eastAsia="Times New Roman" w:cs="Calibri"/>
          <w:bCs/>
          <w:kern w:val="1"/>
          <w:sz w:val="24"/>
          <w:szCs w:val="24"/>
          <w:lang w:eastAsia="ar-SA"/>
        </w:rPr>
        <w:t xml:space="preserve"> w formie zapytania ofertowego lub przetargu. W związku z tym oferty złożone przez wykonawców w ramach niniejszego zapytania nie będą skutkowały wyborem oferty najkorzystniejszej i podpisaniem umowy z wykonawcą, który złoży najkorzystniejszą ofertę.</w:t>
      </w:r>
    </w:p>
    <w:p w14:paraId="074BAC2F" w14:textId="77777777" w:rsidR="00470F35" w:rsidRPr="00942239" w:rsidRDefault="00470F35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</w:p>
    <w:p w14:paraId="112EB865" w14:textId="260AC512" w:rsidR="00EF0205" w:rsidRPr="00942239" w:rsidRDefault="00EF0205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  <w:r w:rsidRPr="00942239">
        <w:rPr>
          <w:rFonts w:eastAsia="Times New Roman" w:cs="Calibri"/>
          <w:bCs/>
          <w:kern w:val="1"/>
          <w:sz w:val="24"/>
          <w:szCs w:val="24"/>
          <w:lang w:eastAsia="ar-SA"/>
        </w:rPr>
        <w:t xml:space="preserve">Szacowanie wartości zamówienia należy złożyć poprzez platformę Open </w:t>
      </w:r>
      <w:proofErr w:type="spellStart"/>
      <w:r w:rsidRPr="00942239">
        <w:rPr>
          <w:rFonts w:eastAsia="Times New Roman" w:cs="Calibri"/>
          <w:bCs/>
          <w:kern w:val="1"/>
          <w:sz w:val="24"/>
          <w:szCs w:val="24"/>
          <w:lang w:eastAsia="ar-SA"/>
        </w:rPr>
        <w:t>Nexus</w:t>
      </w:r>
      <w:proofErr w:type="spellEnd"/>
      <w:r w:rsidRPr="00942239">
        <w:rPr>
          <w:rFonts w:eastAsia="Times New Roman" w:cs="Calibri"/>
          <w:bCs/>
          <w:kern w:val="1"/>
          <w:sz w:val="24"/>
          <w:szCs w:val="24"/>
          <w:lang w:eastAsia="ar-SA"/>
        </w:rPr>
        <w:t xml:space="preserve"> lub przesłać na maila: kamil.stanos@starachowice.eu</w:t>
      </w:r>
    </w:p>
    <w:p w14:paraId="477EFAE9" w14:textId="77777777" w:rsidR="00EF0205" w:rsidRPr="00942239" w:rsidRDefault="00EF0205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</w:p>
    <w:p w14:paraId="2C1AFF7A" w14:textId="7D67844E" w:rsidR="009F5CE7" w:rsidRPr="00942239" w:rsidRDefault="009F5CE7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  <w:r w:rsidRPr="00942239">
        <w:rPr>
          <w:rFonts w:eastAsia="Times New Roman" w:cs="Calibri"/>
          <w:bCs/>
          <w:kern w:val="1"/>
          <w:sz w:val="24"/>
          <w:szCs w:val="24"/>
          <w:lang w:eastAsia="ar-SA"/>
        </w:rPr>
        <w:t>Niniejsza informacja nie stanowi oferty w myśl art. 66 Kodeksu Cywilnego, jak również nie jest ogłoszeniem w rozumieniu ustawy Prawo zamówień publicznych.</w:t>
      </w:r>
    </w:p>
    <w:p w14:paraId="22C7C0E4" w14:textId="77777777" w:rsidR="00903B5A" w:rsidRPr="00EB6601" w:rsidRDefault="00903B5A" w:rsidP="004D4971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color w:val="2B2A29"/>
          <w:lang w:eastAsia="pl-PL"/>
        </w:rPr>
      </w:pPr>
    </w:p>
    <w:bookmarkEnd w:id="0"/>
    <w:p w14:paraId="643FAEF0" w14:textId="77777777" w:rsidR="00903B5A" w:rsidRPr="00903B5A" w:rsidRDefault="00903B5A" w:rsidP="004D4971">
      <w:pPr>
        <w:jc w:val="both"/>
      </w:pPr>
    </w:p>
    <w:sectPr w:rsidR="00903B5A" w:rsidRPr="00903B5A" w:rsidSect="007C32F4">
      <w:headerReference w:type="default" r:id="rId8"/>
      <w:footerReference w:type="default" r:id="rId9"/>
      <w:pgSz w:w="11906" w:h="16838"/>
      <w:pgMar w:top="1417" w:right="1417" w:bottom="1417" w:left="1417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19" w14:textId="77777777" w:rsidR="00E81A00" w:rsidRDefault="00E81A00" w:rsidP="00E81A00">
      <w:pPr>
        <w:spacing w:after="0" w:line="240" w:lineRule="auto"/>
      </w:pPr>
      <w:r>
        <w:separator/>
      </w:r>
    </w:p>
  </w:endnote>
  <w:endnote w:type="continuationSeparator" w:id="0">
    <w:p w14:paraId="124B64EA" w14:textId="77777777" w:rsidR="00E81A00" w:rsidRDefault="00E81A00" w:rsidP="00E8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93EC" w14:textId="77777777" w:rsidR="00E81A00" w:rsidRPr="00E81A00" w:rsidRDefault="00E81A00" w:rsidP="00E81A00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sz w:val="18"/>
        <w:szCs w:val="18"/>
        <w:lang w:eastAsia="pl-PL"/>
      </w:rPr>
    </w:pPr>
    <w:r w:rsidRPr="00E81A00">
      <w:rPr>
        <w:rFonts w:ascii="Calibri" w:eastAsia="Times New Roman" w:hAnsi="Calibri" w:cs="Times New Roman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1252DBE4" wp14:editId="0FCA78C5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301750" cy="430530"/>
          <wp:effectExtent l="0" t="0" r="0" b="762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A00">
      <w:rPr>
        <w:rFonts w:ascii="Calibri" w:eastAsia="Times New Roman" w:hAnsi="Calibri" w:cs="Times New Roman"/>
        <w:b/>
        <w:bCs/>
        <w:sz w:val="18"/>
        <w:szCs w:val="18"/>
        <w:lang w:eastAsia="pl-PL"/>
      </w:rPr>
      <w:t>Projekt:</w:t>
    </w:r>
    <w:r w:rsidRPr="00E81A00">
      <w:rPr>
        <w:rFonts w:ascii="Calibri" w:eastAsia="Times New Roman" w:hAnsi="Calibri" w:cs="Times New Roman"/>
        <w:sz w:val="18"/>
        <w:szCs w:val="18"/>
        <w:lang w:eastAsia="pl-PL"/>
      </w:rPr>
      <w:t xml:space="preserve"> „Kierunek Przyszłość: Starachowicki Program Rozwoju Lokalnego”</w:t>
    </w:r>
  </w:p>
  <w:p w14:paraId="0C029297" w14:textId="77777777" w:rsidR="00E81A00" w:rsidRPr="00E81A00" w:rsidRDefault="00E81A00" w:rsidP="00E81A00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sz w:val="18"/>
        <w:szCs w:val="18"/>
        <w:lang w:eastAsia="pl-PL"/>
      </w:rPr>
    </w:pPr>
    <w:r w:rsidRPr="00E81A00">
      <w:rPr>
        <w:rFonts w:ascii="Calibri" w:eastAsia="Times New Roman" w:hAnsi="Calibri" w:cs="Times New Roman"/>
        <w:sz w:val="18"/>
        <w:szCs w:val="18"/>
        <w:lang w:eastAsia="pl-PL"/>
      </w:rPr>
      <w:t xml:space="preserve">Wspólnie działamy na rzecz Europy </w:t>
    </w:r>
    <w:r w:rsidRPr="00E81A00">
      <w:rPr>
        <w:rFonts w:ascii="Calibri" w:eastAsia="Times New Roman" w:hAnsi="Calibri" w:cs="Times New Roman"/>
        <w:color w:val="70AD47"/>
        <w:sz w:val="18"/>
        <w:szCs w:val="18"/>
        <w:lang w:eastAsia="pl-PL"/>
      </w:rPr>
      <w:t>zielonej</w:t>
    </w:r>
    <w:r w:rsidRPr="00E81A00">
      <w:rPr>
        <w:rFonts w:ascii="Calibri" w:eastAsia="Times New Roman" w:hAnsi="Calibri" w:cs="Times New Roman"/>
        <w:sz w:val="18"/>
        <w:szCs w:val="18"/>
        <w:lang w:eastAsia="pl-PL"/>
      </w:rPr>
      <w:t xml:space="preserve">, </w:t>
    </w:r>
    <w:r w:rsidRPr="00E81A00">
      <w:rPr>
        <w:rFonts w:ascii="Calibri" w:eastAsia="Times New Roman" w:hAnsi="Calibri" w:cs="Times New Roman"/>
        <w:color w:val="2E74B5"/>
        <w:sz w:val="18"/>
        <w:szCs w:val="18"/>
        <w:lang w:eastAsia="pl-PL"/>
      </w:rPr>
      <w:t>konkurencyjne</w:t>
    </w:r>
    <w:r w:rsidRPr="00E81A00">
      <w:rPr>
        <w:rFonts w:ascii="Calibri" w:eastAsia="Times New Roman" w:hAnsi="Calibri" w:cs="Times New Roman"/>
        <w:sz w:val="18"/>
        <w:szCs w:val="18"/>
        <w:lang w:eastAsia="pl-PL"/>
      </w:rPr>
      <w:t xml:space="preserve">j i </w:t>
    </w:r>
    <w:r w:rsidRPr="00E81A00">
      <w:rPr>
        <w:rFonts w:ascii="Calibri" w:eastAsia="Times New Roman" w:hAnsi="Calibri" w:cs="Times New Roman"/>
        <w:color w:val="FF0000"/>
        <w:sz w:val="18"/>
        <w:szCs w:val="18"/>
        <w:lang w:eastAsia="pl-PL"/>
      </w:rPr>
      <w:t>sprzyjającej integracji społecznej</w:t>
    </w:r>
  </w:p>
  <w:p w14:paraId="59BE53C4" w14:textId="77777777" w:rsidR="00E81A00" w:rsidRDefault="00E81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41D8" w14:textId="77777777" w:rsidR="00E81A00" w:rsidRDefault="00E81A00" w:rsidP="00E81A00">
      <w:pPr>
        <w:spacing w:after="0" w:line="240" w:lineRule="auto"/>
      </w:pPr>
      <w:r>
        <w:separator/>
      </w:r>
    </w:p>
  </w:footnote>
  <w:footnote w:type="continuationSeparator" w:id="0">
    <w:p w14:paraId="1133922B" w14:textId="77777777" w:rsidR="00E81A00" w:rsidRDefault="00E81A00" w:rsidP="00E8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A15D" w14:textId="45C9F4B2" w:rsidR="00E81A00" w:rsidRDefault="00825F11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BD306B" wp14:editId="51BD747F">
          <wp:simplePos x="0" y="0"/>
          <wp:positionH relativeFrom="column">
            <wp:posOffset>4564380</wp:posOffset>
          </wp:positionH>
          <wp:positionV relativeFrom="paragraph">
            <wp:posOffset>-441960</wp:posOffset>
          </wp:positionV>
          <wp:extent cx="1638300" cy="610235"/>
          <wp:effectExtent l="0" t="0" r="0" b="0"/>
          <wp:wrapNone/>
          <wp:docPr id="348126798" name="Obraz 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126798" name="Obraz 1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A00">
      <w:rPr>
        <w:noProof/>
      </w:rPr>
      <w:drawing>
        <wp:anchor distT="0" distB="0" distL="114300" distR="114300" simplePos="0" relativeHeight="251658240" behindDoc="0" locked="0" layoutInCell="1" allowOverlap="1" wp14:anchorId="3B9E4EAC" wp14:editId="433CE610">
          <wp:simplePos x="0" y="0"/>
          <wp:positionH relativeFrom="column">
            <wp:posOffset>-642620</wp:posOffset>
          </wp:positionH>
          <wp:positionV relativeFrom="paragraph">
            <wp:posOffset>-374650</wp:posOffset>
          </wp:positionV>
          <wp:extent cx="619125" cy="6000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8CE"/>
    <w:multiLevelType w:val="hybridMultilevel"/>
    <w:tmpl w:val="0862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0F3B"/>
    <w:multiLevelType w:val="hybridMultilevel"/>
    <w:tmpl w:val="40A2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45A"/>
    <w:multiLevelType w:val="hybridMultilevel"/>
    <w:tmpl w:val="C4E8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0D74"/>
    <w:multiLevelType w:val="hybridMultilevel"/>
    <w:tmpl w:val="7A3A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20B3"/>
    <w:multiLevelType w:val="multilevel"/>
    <w:tmpl w:val="3DF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34D0E"/>
    <w:multiLevelType w:val="hybridMultilevel"/>
    <w:tmpl w:val="D506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2A4F"/>
    <w:multiLevelType w:val="hybridMultilevel"/>
    <w:tmpl w:val="C56A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685E"/>
    <w:multiLevelType w:val="multilevel"/>
    <w:tmpl w:val="6FE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A51B1"/>
    <w:multiLevelType w:val="multilevel"/>
    <w:tmpl w:val="B10EFF6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5243A"/>
    <w:multiLevelType w:val="multilevel"/>
    <w:tmpl w:val="209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6F2CFD"/>
    <w:multiLevelType w:val="hybridMultilevel"/>
    <w:tmpl w:val="DC508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1E7CE1"/>
    <w:multiLevelType w:val="multilevel"/>
    <w:tmpl w:val="522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536955"/>
    <w:multiLevelType w:val="hybridMultilevel"/>
    <w:tmpl w:val="2CB0C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A60"/>
    <w:multiLevelType w:val="hybridMultilevel"/>
    <w:tmpl w:val="2E98FCA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A7A2929"/>
    <w:multiLevelType w:val="multilevel"/>
    <w:tmpl w:val="7FC4E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BB314D9"/>
    <w:multiLevelType w:val="hybridMultilevel"/>
    <w:tmpl w:val="BC36E3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1CE1"/>
    <w:multiLevelType w:val="hybridMultilevel"/>
    <w:tmpl w:val="06265E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1AF0"/>
    <w:multiLevelType w:val="hybridMultilevel"/>
    <w:tmpl w:val="60CCCDB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0D032F"/>
    <w:multiLevelType w:val="hybridMultilevel"/>
    <w:tmpl w:val="BC36E33C"/>
    <w:lvl w:ilvl="0" w:tplc="217A9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A78"/>
    <w:multiLevelType w:val="hybridMultilevel"/>
    <w:tmpl w:val="F7EA70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5654C9"/>
    <w:multiLevelType w:val="hybridMultilevel"/>
    <w:tmpl w:val="AE48B2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4063E"/>
    <w:multiLevelType w:val="multilevel"/>
    <w:tmpl w:val="62EC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47688"/>
    <w:multiLevelType w:val="hybridMultilevel"/>
    <w:tmpl w:val="97B8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A33C4"/>
    <w:multiLevelType w:val="hybridMultilevel"/>
    <w:tmpl w:val="6C8A4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E3115"/>
    <w:multiLevelType w:val="hybridMultilevel"/>
    <w:tmpl w:val="AE48B2F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6E4D60"/>
    <w:multiLevelType w:val="hybridMultilevel"/>
    <w:tmpl w:val="CB5AF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6F09"/>
    <w:multiLevelType w:val="hybridMultilevel"/>
    <w:tmpl w:val="0F9A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C77B1"/>
    <w:multiLevelType w:val="hybridMultilevel"/>
    <w:tmpl w:val="7B328C08"/>
    <w:lvl w:ilvl="0" w:tplc="8D28B0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6B7"/>
    <w:multiLevelType w:val="hybridMultilevel"/>
    <w:tmpl w:val="6BAC1436"/>
    <w:lvl w:ilvl="0" w:tplc="5D6439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CA23979"/>
    <w:multiLevelType w:val="hybridMultilevel"/>
    <w:tmpl w:val="592E8F0E"/>
    <w:lvl w:ilvl="0" w:tplc="BFE08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02295">
    <w:abstractNumId w:val="4"/>
  </w:num>
  <w:num w:numId="2" w16cid:durableId="820773674">
    <w:abstractNumId w:val="9"/>
  </w:num>
  <w:num w:numId="3" w16cid:durableId="720207128">
    <w:abstractNumId w:val="12"/>
  </w:num>
  <w:num w:numId="4" w16cid:durableId="2071994317">
    <w:abstractNumId w:val="7"/>
  </w:num>
  <w:num w:numId="5" w16cid:durableId="839540906">
    <w:abstractNumId w:val="22"/>
  </w:num>
  <w:num w:numId="6" w16cid:durableId="1065184345">
    <w:abstractNumId w:val="10"/>
  </w:num>
  <w:num w:numId="7" w16cid:durableId="1443305163">
    <w:abstractNumId w:val="1"/>
  </w:num>
  <w:num w:numId="8" w16cid:durableId="791823460">
    <w:abstractNumId w:val="30"/>
  </w:num>
  <w:num w:numId="9" w16cid:durableId="31539938">
    <w:abstractNumId w:val="0"/>
  </w:num>
  <w:num w:numId="10" w16cid:durableId="697892913">
    <w:abstractNumId w:val="6"/>
  </w:num>
  <w:num w:numId="11" w16cid:durableId="1485782667">
    <w:abstractNumId w:val="24"/>
  </w:num>
  <w:num w:numId="12" w16cid:durableId="1258251576">
    <w:abstractNumId w:val="28"/>
  </w:num>
  <w:num w:numId="13" w16cid:durableId="2145660327">
    <w:abstractNumId w:val="17"/>
  </w:num>
  <w:num w:numId="14" w16cid:durableId="2091153068">
    <w:abstractNumId w:val="3"/>
  </w:num>
  <w:num w:numId="15" w16cid:durableId="762921786">
    <w:abstractNumId w:val="26"/>
  </w:num>
  <w:num w:numId="16" w16cid:durableId="1405376814">
    <w:abstractNumId w:val="27"/>
  </w:num>
  <w:num w:numId="17" w16cid:durableId="1254894301">
    <w:abstractNumId w:val="5"/>
  </w:num>
  <w:num w:numId="18" w16cid:durableId="711921260">
    <w:abstractNumId w:val="11"/>
  </w:num>
  <w:num w:numId="19" w16cid:durableId="860171697">
    <w:abstractNumId w:val="13"/>
  </w:num>
  <w:num w:numId="20" w16cid:durableId="586891406">
    <w:abstractNumId w:val="23"/>
  </w:num>
  <w:num w:numId="21" w16cid:durableId="1886912690">
    <w:abstractNumId w:val="19"/>
  </w:num>
  <w:num w:numId="22" w16cid:durableId="1383484122">
    <w:abstractNumId w:val="21"/>
  </w:num>
  <w:num w:numId="23" w16cid:durableId="1863590122">
    <w:abstractNumId w:val="20"/>
  </w:num>
  <w:num w:numId="24" w16cid:durableId="1095711932">
    <w:abstractNumId w:val="14"/>
  </w:num>
  <w:num w:numId="25" w16cid:durableId="1455254388">
    <w:abstractNumId w:val="2"/>
  </w:num>
  <w:num w:numId="26" w16cid:durableId="672684841">
    <w:abstractNumId w:val="29"/>
  </w:num>
  <w:num w:numId="27" w16cid:durableId="230896107">
    <w:abstractNumId w:val="18"/>
  </w:num>
  <w:num w:numId="28" w16cid:durableId="2031831993">
    <w:abstractNumId w:val="16"/>
  </w:num>
  <w:num w:numId="29" w16cid:durableId="791559597">
    <w:abstractNumId w:val="25"/>
  </w:num>
  <w:num w:numId="30" w16cid:durableId="1375041071">
    <w:abstractNumId w:val="15"/>
  </w:num>
  <w:num w:numId="31" w16cid:durableId="1194537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02"/>
    <w:rsid w:val="00142F18"/>
    <w:rsid w:val="00176FD7"/>
    <w:rsid w:val="002120EB"/>
    <w:rsid w:val="00354D66"/>
    <w:rsid w:val="003B237F"/>
    <w:rsid w:val="00470F35"/>
    <w:rsid w:val="004D4971"/>
    <w:rsid w:val="00571D77"/>
    <w:rsid w:val="005B0971"/>
    <w:rsid w:val="005F634A"/>
    <w:rsid w:val="006362AC"/>
    <w:rsid w:val="007B0265"/>
    <w:rsid w:val="007C32F4"/>
    <w:rsid w:val="00806F26"/>
    <w:rsid w:val="008079BF"/>
    <w:rsid w:val="00825F11"/>
    <w:rsid w:val="00830A72"/>
    <w:rsid w:val="00862A02"/>
    <w:rsid w:val="00894086"/>
    <w:rsid w:val="008D58A9"/>
    <w:rsid w:val="00903B5A"/>
    <w:rsid w:val="00942239"/>
    <w:rsid w:val="00975FBA"/>
    <w:rsid w:val="00994709"/>
    <w:rsid w:val="009B22DD"/>
    <w:rsid w:val="009F5CE7"/>
    <w:rsid w:val="009F7D3F"/>
    <w:rsid w:val="00A733CB"/>
    <w:rsid w:val="00A774D5"/>
    <w:rsid w:val="00AA2516"/>
    <w:rsid w:val="00B11EBA"/>
    <w:rsid w:val="00B87238"/>
    <w:rsid w:val="00C1094E"/>
    <w:rsid w:val="00CB23CF"/>
    <w:rsid w:val="00DF600A"/>
    <w:rsid w:val="00E215F9"/>
    <w:rsid w:val="00E23155"/>
    <w:rsid w:val="00E645F9"/>
    <w:rsid w:val="00E81A00"/>
    <w:rsid w:val="00EB6601"/>
    <w:rsid w:val="00EB7D11"/>
    <w:rsid w:val="00EF0205"/>
    <w:rsid w:val="00F0000D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BE3E64"/>
  <w15:chartTrackingRefBased/>
  <w15:docId w15:val="{9C6AE210-F9B7-41B3-93F6-EECA16A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,Obiekt"/>
    <w:basedOn w:val="Normalny"/>
    <w:link w:val="AkapitzlistZnak"/>
    <w:uiPriority w:val="34"/>
    <w:qFormat/>
    <w:rsid w:val="00C10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A00"/>
  </w:style>
  <w:style w:type="paragraph" w:styleId="Stopka">
    <w:name w:val="footer"/>
    <w:basedOn w:val="Normalny"/>
    <w:link w:val="StopkaZnak"/>
    <w:uiPriority w:val="99"/>
    <w:unhideWhenUsed/>
    <w:rsid w:val="00E8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A00"/>
  </w:style>
  <w:style w:type="character" w:styleId="Hipercze">
    <w:name w:val="Hyperlink"/>
    <w:basedOn w:val="Domylnaczcionkaakapitu"/>
    <w:uiPriority w:val="99"/>
    <w:unhideWhenUsed/>
    <w:rsid w:val="009F5C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205"/>
    <w:rPr>
      <w:color w:val="605E5C"/>
      <w:shd w:val="clear" w:color="auto" w:fill="E1DFDD"/>
    </w:rPr>
  </w:style>
  <w:style w:type="paragraph" w:customStyle="1" w:styleId="Standard">
    <w:name w:val="Standard"/>
    <w:qFormat/>
    <w:rsid w:val="00830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83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8</cp:revision>
  <cp:lastPrinted>2023-07-17T08:04:00Z</cp:lastPrinted>
  <dcterms:created xsi:type="dcterms:W3CDTF">2024-01-04T13:01:00Z</dcterms:created>
  <dcterms:modified xsi:type="dcterms:W3CDTF">2024-02-20T13:57:00Z</dcterms:modified>
</cp:coreProperties>
</file>