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BD76" w14:textId="7FF4A62D" w:rsidR="00D4180D" w:rsidRDefault="00D4180D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8B00C4">
        <w:rPr>
          <w:noProof/>
        </w:rPr>
        <w:drawing>
          <wp:inline distT="0" distB="0" distL="0" distR="0" wp14:anchorId="5816C618" wp14:editId="6B3F8C42">
            <wp:extent cx="5759450" cy="514350"/>
            <wp:effectExtent l="0" t="0" r="0" b="0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71B3" w14:textId="77777777" w:rsidR="00D4180D" w:rsidRDefault="00D4180D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07C9FA89" w14:textId="26818CA6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B80D86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21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3233D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B80D86">
        <w:rPr>
          <w:rFonts w:ascii="Calibri" w:eastAsia="Times New Roman" w:hAnsi="Calibri" w:cs="Arial"/>
          <w:kern w:val="1"/>
          <w:sz w:val="24"/>
          <w:szCs w:val="24"/>
          <w:lang w:eastAsia="pl-PL"/>
        </w:rPr>
        <w:t>24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D4180D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A9D13C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70C10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14DA72D4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1B73F779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1705C8E3" w14:textId="195B6D48" w:rsidR="00281553" w:rsidRPr="00D4180D" w:rsidRDefault="00491D11" w:rsidP="00281553">
      <w:pPr>
        <w:suppressAutoHyphens/>
        <w:spacing w:after="0" w:line="240" w:lineRule="auto"/>
        <w:ind w:left="992" w:hanging="992"/>
        <w:jc w:val="both"/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</w:pP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dotyczy: Wyjaśnienia treści Specyfikacji Warunków Zamówienia</w:t>
      </w:r>
      <w:r w:rsidR="002961EC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i zmiany treści SWZ</w:t>
      </w:r>
      <w:r w:rsidR="00A42500"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="002961EC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                   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</w:t>
      </w:r>
      <w:r w:rsid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D4180D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>na</w:t>
      </w:r>
      <w:r w:rsidR="00D4180D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D4180D" w:rsidRPr="00D4180D">
        <w:rPr>
          <w:rFonts w:ascii="Calibri" w:hAnsi="Calibri" w:cs="Calibri"/>
          <w:b/>
          <w:sz w:val="24"/>
          <w:szCs w:val="24"/>
        </w:rPr>
        <w:t xml:space="preserve">dostawę </w:t>
      </w:r>
      <w:bookmarkStart w:id="0" w:name="_Hlk101940789"/>
      <w:r w:rsidR="00D4180D" w:rsidRPr="00D4180D">
        <w:rPr>
          <w:rFonts w:ascii="Calibri" w:hAnsi="Calibri" w:cs="Calibri"/>
          <w:b/>
          <w:sz w:val="24"/>
          <w:szCs w:val="24"/>
        </w:rPr>
        <w:t xml:space="preserve">nowych elementów wyposażenia </w:t>
      </w:r>
      <w:r w:rsidR="002961EC">
        <w:rPr>
          <w:rFonts w:ascii="Calibri" w:hAnsi="Calibri" w:cs="Calibri"/>
          <w:b/>
          <w:sz w:val="24"/>
          <w:szCs w:val="24"/>
        </w:rPr>
        <w:t xml:space="preserve">– </w:t>
      </w:r>
      <w:r w:rsidR="00B80D86">
        <w:rPr>
          <w:rFonts w:ascii="Calibri" w:hAnsi="Calibri" w:cs="Calibri"/>
          <w:b/>
          <w:sz w:val="24"/>
          <w:szCs w:val="24"/>
        </w:rPr>
        <w:t>wyposażenia dotyczącego promocji</w:t>
      </w:r>
      <w:r w:rsidR="002961EC">
        <w:rPr>
          <w:rFonts w:ascii="Calibri" w:hAnsi="Calibri" w:cs="Calibri"/>
          <w:b/>
          <w:sz w:val="24"/>
          <w:szCs w:val="24"/>
        </w:rPr>
        <w:t xml:space="preserve"> </w:t>
      </w:r>
      <w:r w:rsidR="00D4180D" w:rsidRPr="00D4180D">
        <w:rPr>
          <w:rFonts w:ascii="Calibri" w:hAnsi="Calibri" w:cs="Calibri"/>
          <w:b/>
          <w:sz w:val="24"/>
          <w:szCs w:val="24"/>
        </w:rPr>
        <w:t>do budynku Sokoła w Gorlicach</w:t>
      </w:r>
      <w:bookmarkEnd w:id="0"/>
      <w:r w:rsidR="00281553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9B4D0D7" w14:textId="77777777" w:rsidR="00491D11" w:rsidRDefault="00491D1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017664F6" w14:textId="2D00F98E" w:rsidR="003233D0" w:rsidRPr="009C0169" w:rsidRDefault="00491D11" w:rsidP="009C0169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Zapytani</w:t>
      </w:r>
      <w:r w:rsidR="00B80D86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a</w:t>
      </w:r>
      <w:r w:rsidRPr="002961EC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Wykonaw</w:t>
      </w:r>
      <w:r w:rsidR="0056126B"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cy</w:t>
      </w: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i  wyjaśnienia Zamawiającego</w:t>
      </w:r>
    </w:p>
    <w:p w14:paraId="52F304B4" w14:textId="77777777" w:rsidR="00B92F89" w:rsidRDefault="00B92F89" w:rsidP="002961EC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</w:p>
    <w:p w14:paraId="5E9666E5" w14:textId="68F32583" w:rsidR="00674E27" w:rsidRPr="0078384B" w:rsidRDefault="003233D0" w:rsidP="002961E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8384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Pytanie</w:t>
      </w:r>
      <w:r w:rsidR="00B80D86" w:rsidRPr="0078384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 xml:space="preserve"> 1</w:t>
      </w:r>
      <w:r w:rsidRPr="0078384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2E077C97" w14:textId="73513787" w:rsidR="00B80D86" w:rsidRPr="0078384B" w:rsidRDefault="00B80D86" w:rsidP="005774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84B">
        <w:rPr>
          <w:sz w:val="24"/>
          <w:szCs w:val="24"/>
        </w:rPr>
        <w:t xml:space="preserve">Dotyczy pozycji 5: Ścianka reklamowa: Konstrukcja ścianki 3x4m umożliwia przerobienie kształtu ścianki z łukowej na prostą przez Klienta, jednak grafika nie jest uniwersalna i po zmianie kształtu </w:t>
      </w:r>
      <w:r w:rsidR="0078384B">
        <w:rPr>
          <w:sz w:val="24"/>
          <w:szCs w:val="24"/>
        </w:rPr>
        <w:t xml:space="preserve">            </w:t>
      </w:r>
      <w:r w:rsidRPr="0078384B">
        <w:rPr>
          <w:sz w:val="24"/>
          <w:szCs w:val="24"/>
        </w:rPr>
        <w:t>z łukowej na prostą nie będzie pasowała do konstrukcji.</w:t>
      </w:r>
    </w:p>
    <w:p w14:paraId="6FA500C9" w14:textId="77777777" w:rsidR="00B80D86" w:rsidRPr="0078384B" w:rsidRDefault="00B80D86" w:rsidP="005774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84B">
        <w:rPr>
          <w:sz w:val="24"/>
          <w:szCs w:val="24"/>
        </w:rPr>
        <w:t xml:space="preserve">PYTANIE 1: W związku z powyższym proszę o informację czy mamy wycenić 2 grafiki czy jedną ? Jeśli 1 to czy do prostej czy łukowej? </w:t>
      </w:r>
    </w:p>
    <w:p w14:paraId="46F3D339" w14:textId="77777777" w:rsidR="0078384B" w:rsidRDefault="00B80D86" w:rsidP="00B80D86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84B">
        <w:rPr>
          <w:sz w:val="24"/>
          <w:szCs w:val="24"/>
        </w:rPr>
        <w:t xml:space="preserve">PYTANIE 2: Aktualnie kufry na kółkach, które mogą pełnić funkcję </w:t>
      </w:r>
      <w:proofErr w:type="spellStart"/>
      <w:r w:rsidRPr="0078384B">
        <w:rPr>
          <w:sz w:val="24"/>
          <w:szCs w:val="24"/>
        </w:rPr>
        <w:t>trybunki</w:t>
      </w:r>
      <w:proofErr w:type="spellEnd"/>
      <w:r w:rsidRPr="0078384B">
        <w:rPr>
          <w:sz w:val="24"/>
          <w:szCs w:val="24"/>
        </w:rPr>
        <w:t xml:space="preserve"> są niedostępne u producentów. Czy dopuszczacie Państwo kufer materiałowy ? Czy dodatkowo do ścianki mamy wycenić ladę z grafiką ?</w:t>
      </w:r>
    </w:p>
    <w:p w14:paraId="5750852E" w14:textId="0DCC18CD" w:rsidR="00B80D86" w:rsidRPr="0078384B" w:rsidRDefault="00B80D86" w:rsidP="00B80D86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78384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Odpowiedź:</w:t>
      </w:r>
    </w:p>
    <w:p w14:paraId="1F54839B" w14:textId="2369B961" w:rsidR="00B80D86" w:rsidRPr="0078384B" w:rsidRDefault="005F3C39" w:rsidP="005774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84B">
        <w:rPr>
          <w:sz w:val="24"/>
          <w:szCs w:val="24"/>
        </w:rPr>
        <w:t xml:space="preserve">Należy wycenić dwie grafiki, zarówno do </w:t>
      </w:r>
      <w:r w:rsidR="00245645" w:rsidRPr="0078384B">
        <w:rPr>
          <w:sz w:val="24"/>
          <w:szCs w:val="24"/>
        </w:rPr>
        <w:t xml:space="preserve">kształtu łukowego jak i prostego. </w:t>
      </w:r>
    </w:p>
    <w:p w14:paraId="29F99695" w14:textId="7142CA47" w:rsidR="00245645" w:rsidRPr="0078384B" w:rsidRDefault="00245645" w:rsidP="005774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84B">
        <w:rPr>
          <w:sz w:val="24"/>
          <w:szCs w:val="24"/>
        </w:rPr>
        <w:t xml:space="preserve">Zamawiający nie dopuszcza kufra materiałowego. </w:t>
      </w:r>
    </w:p>
    <w:p w14:paraId="2A570506" w14:textId="16F9C938" w:rsidR="00245645" w:rsidRPr="0078384B" w:rsidRDefault="00245645" w:rsidP="005774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84B">
        <w:rPr>
          <w:sz w:val="24"/>
          <w:szCs w:val="24"/>
        </w:rPr>
        <w:t>Nie należy wyceniać lady z grafiką.</w:t>
      </w:r>
    </w:p>
    <w:p w14:paraId="0B54B835" w14:textId="77777777" w:rsidR="00B80D86" w:rsidRPr="0078384B" w:rsidRDefault="00B80D86" w:rsidP="005774EC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C2B7E14" w14:textId="3687FCBB" w:rsidR="00B80D86" w:rsidRPr="0078384B" w:rsidRDefault="00B80D86" w:rsidP="00B80D8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8384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Pytanie 2:</w:t>
      </w:r>
    </w:p>
    <w:p w14:paraId="351E9974" w14:textId="77777777" w:rsidR="00B80D86" w:rsidRPr="0078384B" w:rsidRDefault="00B80D86" w:rsidP="005774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84B">
        <w:rPr>
          <w:sz w:val="24"/>
          <w:szCs w:val="24"/>
        </w:rPr>
        <w:t xml:space="preserve">Dotyczy pozycji: namiot stelażowy: </w:t>
      </w:r>
    </w:p>
    <w:p w14:paraId="5B946A2F" w14:textId="47D44317" w:rsidR="00B80D86" w:rsidRPr="0078384B" w:rsidRDefault="00B80D86" w:rsidP="005774E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78384B">
        <w:rPr>
          <w:sz w:val="24"/>
          <w:szCs w:val="24"/>
        </w:rPr>
        <w:t>PYTANIE 1: Czy zamiast obciążników betonowych, dopuszczacie Państwo obciążniki do napełnienia wodą lub piaskiem, waga bez zmian 15kg ?</w:t>
      </w:r>
    </w:p>
    <w:p w14:paraId="39A177F9" w14:textId="19729395" w:rsidR="002C3194" w:rsidRPr="0078384B" w:rsidRDefault="002C3194" w:rsidP="005774E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bookmarkStart w:id="1" w:name="_Hlk104277615"/>
      <w:r w:rsidRPr="0078384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Odpowiedź:</w:t>
      </w:r>
    </w:p>
    <w:bookmarkEnd w:id="1"/>
    <w:p w14:paraId="636AB979" w14:textId="79AC7AE2" w:rsidR="002961EC" w:rsidRPr="0078384B" w:rsidRDefault="00B92F89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78384B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dopuszcza tylko obciążniki betonowe lub metalowe</w:t>
      </w:r>
    </w:p>
    <w:p w14:paraId="532F6DCF" w14:textId="77777777" w:rsidR="00B80D86" w:rsidRDefault="00B80D86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75F26BF1" w14:textId="2ED37E59" w:rsidR="002961EC" w:rsidRPr="009C0169" w:rsidRDefault="002961EC" w:rsidP="009C0169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  <w:r w:rsidRPr="002961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Przedłużenie</w:t>
      </w:r>
      <w:r w:rsidRPr="002961EC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terminu</w:t>
      </w:r>
      <w:r w:rsidRPr="002961EC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składania</w:t>
      </w:r>
      <w:r w:rsidRPr="002961EC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ofert</w:t>
      </w:r>
    </w:p>
    <w:p w14:paraId="7023E0CD" w14:textId="77777777" w:rsidR="002961EC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Zamawiający przedłuża termin składania ofert.</w:t>
      </w:r>
    </w:p>
    <w:p w14:paraId="2B741A2D" w14:textId="77777777" w:rsidR="002961EC" w:rsidRPr="00E16B58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201CF403" w14:textId="77777777" w:rsidR="002961EC" w:rsidRPr="00F06FEC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Nowe,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obowiązujące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terminy:</w:t>
      </w:r>
    </w:p>
    <w:p w14:paraId="11C9CB65" w14:textId="77777777" w:rsidR="002961EC" w:rsidRPr="00F06FEC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058C8CEE" w14:textId="6CB94A2B" w:rsidR="002961EC" w:rsidRPr="009D6187" w:rsidRDefault="002961EC" w:rsidP="002961E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Termin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składania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upływa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2</w:t>
      </w:r>
      <w:r w:rsidR="00CD1031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7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 w:rsidR="00405E69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5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.2022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</w:t>
      </w:r>
      <w:r w:rsidR="00CD1031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2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:00</w:t>
      </w:r>
    </w:p>
    <w:p w14:paraId="521C4736" w14:textId="07F3C8D4" w:rsidR="002961EC" w:rsidRPr="00405E69" w:rsidRDefault="002961EC" w:rsidP="00405E69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Otwarcie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nastąpi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2</w:t>
      </w:r>
      <w:r w:rsidR="00CD1031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7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 w:rsidR="00405E69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5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.2022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</w:t>
      </w:r>
      <w:r w:rsidR="00CD1031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2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:30</w:t>
      </w:r>
    </w:p>
    <w:p w14:paraId="21E4B916" w14:textId="77777777" w:rsidR="002961EC" w:rsidRPr="00546A07" w:rsidRDefault="002961EC" w:rsidP="002961E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</w:t>
      </w:r>
      <w:r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)</w:t>
      </w: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 xml:space="preserve"> SWZ otrzymuje nową treść:</w:t>
      </w:r>
    </w:p>
    <w:p w14:paraId="5E9D4BFE" w14:textId="77777777" w:rsidR="002961EC" w:rsidRPr="00546A07" w:rsidRDefault="002961EC" w:rsidP="002961EC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„5. TERMIN ZWIĄZANIA OFERTĄ</w:t>
      </w:r>
    </w:p>
    <w:p w14:paraId="537948A8" w14:textId="58492CDD" w:rsidR="002961EC" w:rsidRPr="00546A07" w:rsidRDefault="002961EC" w:rsidP="002961EC">
      <w:pPr>
        <w:widowControl w:val="0"/>
        <w:numPr>
          <w:ilvl w:val="0"/>
          <w:numId w:val="8"/>
        </w:numPr>
        <w:suppressAutoHyphens/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 w:rsidR="00CD1031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25</w:t>
      </w:r>
      <w:r w:rsidRPr="009D618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.0</w:t>
      </w:r>
      <w:r w:rsidR="00405E69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6</w:t>
      </w:r>
      <w:r w:rsidRPr="009D618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.2022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r.”</w:t>
      </w:r>
    </w:p>
    <w:p w14:paraId="6EE538C2" w14:textId="77777777" w:rsidR="002961EC" w:rsidRPr="00546A07" w:rsidRDefault="002961EC" w:rsidP="002961E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6ABF619C" w14:textId="373C63E9" w:rsidR="002961EC" w:rsidRPr="00546A07" w:rsidRDefault="002961EC" w:rsidP="002961E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Zamawiający informuje jednocześnie o odpowiedniej zmianie ogłoszenia o zamówieniu nr 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2022/BZP 00</w:t>
      </w:r>
      <w:r w:rsidR="00405E69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1</w:t>
      </w:r>
      <w:r w:rsidR="00CD1031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65441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/01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z dnia </w:t>
      </w:r>
      <w:r w:rsidR="00405E69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1</w:t>
      </w:r>
      <w:r w:rsidR="000F43F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8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.0</w:t>
      </w:r>
      <w:r w:rsidR="00405E69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5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r.</w:t>
      </w:r>
    </w:p>
    <w:p w14:paraId="2A0D24C5" w14:textId="77777777" w:rsidR="00B502A2" w:rsidRPr="00A443FE" w:rsidRDefault="00B502A2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1B772573" w14:textId="77777777" w:rsidR="00850F7A" w:rsidRPr="00491D11" w:rsidRDefault="00850F7A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68C666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8901370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7A46AE77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5D3DB712" w14:textId="23678F0C" w:rsidR="00491D11" w:rsidRDefault="00491D11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6E788F0" w14:textId="087BD190" w:rsidR="005774EC" w:rsidRDefault="005774EC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1233B4F" w14:textId="77777777" w:rsidR="004253E0" w:rsidRPr="00491D11" w:rsidRDefault="004253E0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3A511B8" w14:textId="4277E5A0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</w:t>
      </w:r>
      <w:r w:rsidR="004253E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</w:t>
      </w: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………………………………………………………………….</w:t>
      </w:r>
    </w:p>
    <w:p w14:paraId="3BD28CB6" w14:textId="16296863" w:rsidR="005774EC" w:rsidRPr="00850F7A" w:rsidRDefault="00491D11" w:rsidP="00850F7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47F15B5F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8F00A4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C4D69D0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E182A0F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91190E6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D6B6C4D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16596EC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AE38571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D4F2200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0196105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DED3B0A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804AB26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3BB15A1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FC30C3F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CDAE7A3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9C28079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CDA4157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19D3D97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6CD4A8B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6761CD2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BB35C24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006C19E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606F4B2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326E3F0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4908180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E6200F5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6C3A239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003B85B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B6CF391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94D3A28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538A785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83E1C0A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F253232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C85C139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154F422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EF172C8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8DAF2E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E4D556F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550477B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8553750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73661C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E605440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7AC672C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7AA4784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704C012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5BE77A1" w14:textId="77777777" w:rsidR="00B92F89" w:rsidRDefault="00B92F8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E7DDD7" w14:textId="0C495E9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F6644A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</w:t>
      </w:r>
      <w:r w:rsidR="00DE1A1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-</w:t>
      </w: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inspektor, Wydział Organizacyjny, Dział Zamówień Publicznych, tel. 18355125</w:t>
      </w:r>
      <w:r w:rsidR="00AD7A83">
        <w:rPr>
          <w:rFonts w:ascii="Calibri" w:eastAsia="Times New Roman" w:hAnsi="Calibri" w:cs="Arial"/>
          <w:kern w:val="1"/>
          <w:sz w:val="20"/>
          <w:szCs w:val="20"/>
          <w:lang w:eastAsia="pl-PL"/>
        </w:rPr>
        <w:t>2</w:t>
      </w:r>
    </w:p>
    <w:p w14:paraId="64364942" w14:textId="77777777" w:rsidR="008F1212" w:rsidRDefault="008F1212" w:rsidP="00AD7A83"/>
    <w:sectPr w:rsidR="008F1212" w:rsidSect="005135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9745" w14:textId="77777777" w:rsidR="00463077" w:rsidRDefault="00463077" w:rsidP="00491D11">
      <w:pPr>
        <w:spacing w:after="0" w:line="240" w:lineRule="auto"/>
      </w:pPr>
      <w:r>
        <w:separator/>
      </w:r>
    </w:p>
  </w:endnote>
  <w:endnote w:type="continuationSeparator" w:id="0">
    <w:p w14:paraId="72000B2E" w14:textId="77777777" w:rsidR="00463077" w:rsidRDefault="00463077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D774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E4AFF" w14:textId="77777777" w:rsidR="00513586" w:rsidRDefault="0051358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F872" w14:textId="77777777" w:rsidR="00513586" w:rsidRDefault="00513586" w:rsidP="00513586">
    <w:pPr>
      <w:pStyle w:val="Stopka"/>
      <w:ind w:left="-720" w:right="360"/>
      <w:jc w:val="center"/>
    </w:pPr>
  </w:p>
  <w:p w14:paraId="4EE7E60F" w14:textId="77777777" w:rsidR="00513586" w:rsidRDefault="0051358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171B394" w14:textId="77777777" w:rsidR="00513586" w:rsidRDefault="0051358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202FE58" w14:textId="77777777" w:rsidR="00513586" w:rsidRDefault="0051358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AB71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FBB14" w14:textId="77777777" w:rsidR="00513586" w:rsidRDefault="0051358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9846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AF89CD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</w:p>
  <w:p w14:paraId="7146452D" w14:textId="77777777" w:rsidR="00513586" w:rsidRDefault="0051358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FD8C908" w14:textId="77777777" w:rsidR="00513586" w:rsidRDefault="0051358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4AB6" w14:textId="77777777" w:rsidR="00513586" w:rsidRDefault="0051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6F91" w14:textId="77777777" w:rsidR="00463077" w:rsidRDefault="00463077" w:rsidP="00491D11">
      <w:pPr>
        <w:spacing w:after="0" w:line="240" w:lineRule="auto"/>
      </w:pPr>
      <w:r>
        <w:separator/>
      </w:r>
    </w:p>
  </w:footnote>
  <w:footnote w:type="continuationSeparator" w:id="0">
    <w:p w14:paraId="389C2882" w14:textId="77777777" w:rsidR="00463077" w:rsidRDefault="00463077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ECA4" w14:textId="77777777" w:rsidR="00513586" w:rsidRDefault="00463077">
    <w:pPr>
      <w:pStyle w:val="Nagwek"/>
      <w:ind w:left="-720" w:right="-622"/>
    </w:pPr>
    <w:r>
      <w:rPr>
        <w:noProof/>
      </w:rPr>
      <w:pict w14:anchorId="07F1F2AA">
        <v:rect id="Prostokąt 3" o:spid="_x0000_s1026" style="position:absolute;left:0;text-align:left;margin-left:546.2pt;margin-top:568.1pt;width:41.9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<v:textbox style="layout-flow:vertical;mso-layout-flow-alt:bottom-to-top;mso-fit-shape-to-text:t">
            <w:txbxContent>
              <w:p w14:paraId="67F72BB0" w14:textId="77777777" w:rsidR="00513586" w:rsidRPr="00746040" w:rsidRDefault="00513586">
                <w:pPr>
                  <w:pStyle w:val="Stopka"/>
                  <w:rPr>
                    <w:rFonts w:ascii="Calibri Light" w:hAnsi="Calibri Light"/>
                    <w:sz w:val="44"/>
                    <w:szCs w:val="44"/>
                  </w:rPr>
                </w:pPr>
                <w:r w:rsidRPr="00746040">
                  <w:rPr>
                    <w:rFonts w:ascii="Calibri Light" w:hAnsi="Calibri Light"/>
                  </w:rPr>
                  <w:t>Strona</w:t>
                </w:r>
                <w:r w:rsidRPr="00746040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746040">
                  <w:rPr>
                    <w:sz w:val="22"/>
                    <w:szCs w:val="22"/>
                  </w:rPr>
                  <w:fldChar w:fldCharType="separate"/>
                </w:r>
                <w:r w:rsidR="002D62F5" w:rsidRPr="002D62F5">
                  <w:rPr>
                    <w:rFonts w:ascii="Calibri Light" w:hAnsi="Calibri Light"/>
                    <w:noProof/>
                    <w:sz w:val="44"/>
                    <w:szCs w:val="44"/>
                  </w:rPr>
                  <w:t>3</w:t>
                </w:r>
                <w:r w:rsidRPr="00746040">
                  <w:rPr>
                    <w:rFonts w:ascii="Calibri Light" w:hAnsi="Calibri Light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B161" w14:textId="77777777" w:rsidR="00513586" w:rsidRDefault="00513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52EE" w14:textId="77777777" w:rsidR="00513586" w:rsidRDefault="0051358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9F19" w14:textId="77777777" w:rsidR="00513586" w:rsidRDefault="0051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FA"/>
    <w:multiLevelType w:val="hybridMultilevel"/>
    <w:tmpl w:val="FF389694"/>
    <w:lvl w:ilvl="0" w:tplc="4A1A4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663B"/>
    <w:multiLevelType w:val="hybridMultilevel"/>
    <w:tmpl w:val="D6A872A0"/>
    <w:lvl w:ilvl="0" w:tplc="D13A1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13D3A"/>
    <w:multiLevelType w:val="hybridMultilevel"/>
    <w:tmpl w:val="A246C1DA"/>
    <w:lvl w:ilvl="0" w:tplc="75B6237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2EB4"/>
    <w:multiLevelType w:val="hybridMultilevel"/>
    <w:tmpl w:val="09A2FF92"/>
    <w:lvl w:ilvl="0" w:tplc="3DD0E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5168"/>
    <w:multiLevelType w:val="hybridMultilevel"/>
    <w:tmpl w:val="EEC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EF5"/>
    <w:multiLevelType w:val="hybridMultilevel"/>
    <w:tmpl w:val="E89C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524D"/>
    <w:multiLevelType w:val="hybridMultilevel"/>
    <w:tmpl w:val="89D673A0"/>
    <w:lvl w:ilvl="0" w:tplc="E1AAF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2D31"/>
    <w:multiLevelType w:val="hybridMultilevel"/>
    <w:tmpl w:val="85C44804"/>
    <w:lvl w:ilvl="0" w:tplc="F93AA7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0FCD"/>
    <w:multiLevelType w:val="multilevel"/>
    <w:tmpl w:val="4D32D240"/>
    <w:lvl w:ilvl="0">
      <w:start w:val="1"/>
      <w:numFmt w:val="decimal"/>
      <w:lvlText w:val="2.%1."/>
      <w:lvlJc w:val="left"/>
      <w:rPr>
        <w:rFonts w:ascii="Calibri" w:eastAsia="Georgi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18" w15:restartNumberingAfterBreak="0">
    <w:nsid w:val="6D4F46E8"/>
    <w:multiLevelType w:val="hybridMultilevel"/>
    <w:tmpl w:val="A7E6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7E6"/>
    <w:multiLevelType w:val="hybridMultilevel"/>
    <w:tmpl w:val="374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 w16cid:durableId="389620491">
    <w:abstractNumId w:val="10"/>
  </w:num>
  <w:num w:numId="2" w16cid:durableId="377435125">
    <w:abstractNumId w:val="14"/>
  </w:num>
  <w:num w:numId="3" w16cid:durableId="2077630440">
    <w:abstractNumId w:val="6"/>
  </w:num>
  <w:num w:numId="4" w16cid:durableId="407968675">
    <w:abstractNumId w:val="13"/>
  </w:num>
  <w:num w:numId="5" w16cid:durableId="1627158166">
    <w:abstractNumId w:val="15"/>
  </w:num>
  <w:num w:numId="6" w16cid:durableId="2041860398">
    <w:abstractNumId w:val="20"/>
  </w:num>
  <w:num w:numId="7" w16cid:durableId="1864439407">
    <w:abstractNumId w:val="1"/>
  </w:num>
  <w:num w:numId="8" w16cid:durableId="1093169217">
    <w:abstractNumId w:val="3"/>
  </w:num>
  <w:num w:numId="9" w16cid:durableId="1618297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998975">
    <w:abstractNumId w:val="7"/>
  </w:num>
  <w:num w:numId="11" w16cid:durableId="1248030832">
    <w:abstractNumId w:val="17"/>
  </w:num>
  <w:num w:numId="12" w16cid:durableId="1808011077">
    <w:abstractNumId w:val="19"/>
  </w:num>
  <w:num w:numId="13" w16cid:durableId="466629778">
    <w:abstractNumId w:val="8"/>
  </w:num>
  <w:num w:numId="14" w16cid:durableId="202714061">
    <w:abstractNumId w:val="11"/>
  </w:num>
  <w:num w:numId="15" w16cid:durableId="1511481906">
    <w:abstractNumId w:val="0"/>
  </w:num>
  <w:num w:numId="16" w16cid:durableId="1794129171">
    <w:abstractNumId w:val="12"/>
  </w:num>
  <w:num w:numId="17" w16cid:durableId="548690102">
    <w:abstractNumId w:val="4"/>
  </w:num>
  <w:num w:numId="18" w16cid:durableId="1752114473">
    <w:abstractNumId w:val="18"/>
  </w:num>
  <w:num w:numId="19" w16cid:durableId="733553528">
    <w:abstractNumId w:val="9"/>
  </w:num>
  <w:num w:numId="20" w16cid:durableId="1978298380">
    <w:abstractNumId w:val="16"/>
  </w:num>
  <w:num w:numId="21" w16cid:durableId="127470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11"/>
    <w:rsid w:val="00023FC9"/>
    <w:rsid w:val="00055780"/>
    <w:rsid w:val="000908F1"/>
    <w:rsid w:val="00095925"/>
    <w:rsid w:val="000A2D5B"/>
    <w:rsid w:val="000E7833"/>
    <w:rsid w:val="000F43F3"/>
    <w:rsid w:val="001139E5"/>
    <w:rsid w:val="00126E58"/>
    <w:rsid w:val="001353C7"/>
    <w:rsid w:val="00141F26"/>
    <w:rsid w:val="00150D3F"/>
    <w:rsid w:val="00161E15"/>
    <w:rsid w:val="0019026F"/>
    <w:rsid w:val="00193169"/>
    <w:rsid w:val="001A1B24"/>
    <w:rsid w:val="001B039D"/>
    <w:rsid w:val="001F6589"/>
    <w:rsid w:val="00204D52"/>
    <w:rsid w:val="00221CD8"/>
    <w:rsid w:val="00225749"/>
    <w:rsid w:val="0024025B"/>
    <w:rsid w:val="00242149"/>
    <w:rsid w:val="00243DD6"/>
    <w:rsid w:val="00245645"/>
    <w:rsid w:val="00251508"/>
    <w:rsid w:val="0027135B"/>
    <w:rsid w:val="0027380B"/>
    <w:rsid w:val="00275D0B"/>
    <w:rsid w:val="00281553"/>
    <w:rsid w:val="00284C0E"/>
    <w:rsid w:val="0029299F"/>
    <w:rsid w:val="00293ECD"/>
    <w:rsid w:val="00295EAB"/>
    <w:rsid w:val="002961EC"/>
    <w:rsid w:val="002B37DC"/>
    <w:rsid w:val="002C3194"/>
    <w:rsid w:val="002C4B65"/>
    <w:rsid w:val="002D62F5"/>
    <w:rsid w:val="002D694B"/>
    <w:rsid w:val="002E3455"/>
    <w:rsid w:val="002E3FF8"/>
    <w:rsid w:val="002F106D"/>
    <w:rsid w:val="0030282D"/>
    <w:rsid w:val="00310434"/>
    <w:rsid w:val="003221B4"/>
    <w:rsid w:val="003233D0"/>
    <w:rsid w:val="00334427"/>
    <w:rsid w:val="00351102"/>
    <w:rsid w:val="003527B0"/>
    <w:rsid w:val="00372A53"/>
    <w:rsid w:val="003921D2"/>
    <w:rsid w:val="003964E8"/>
    <w:rsid w:val="003B29C4"/>
    <w:rsid w:val="003E4E17"/>
    <w:rsid w:val="003F36DC"/>
    <w:rsid w:val="004011AB"/>
    <w:rsid w:val="00401C34"/>
    <w:rsid w:val="00405E69"/>
    <w:rsid w:val="004253E0"/>
    <w:rsid w:val="00463077"/>
    <w:rsid w:val="004653C9"/>
    <w:rsid w:val="00472CB7"/>
    <w:rsid w:val="00491D11"/>
    <w:rsid w:val="0049451D"/>
    <w:rsid w:val="004A0C4A"/>
    <w:rsid w:val="004B4ED4"/>
    <w:rsid w:val="004C2D2D"/>
    <w:rsid w:val="004C53F5"/>
    <w:rsid w:val="004D62CA"/>
    <w:rsid w:val="0050523E"/>
    <w:rsid w:val="00512570"/>
    <w:rsid w:val="00513586"/>
    <w:rsid w:val="00531777"/>
    <w:rsid w:val="00533DDF"/>
    <w:rsid w:val="005352EB"/>
    <w:rsid w:val="0053576F"/>
    <w:rsid w:val="0056126B"/>
    <w:rsid w:val="005774EC"/>
    <w:rsid w:val="00577E5B"/>
    <w:rsid w:val="005B0B5A"/>
    <w:rsid w:val="005C5DBC"/>
    <w:rsid w:val="005D714B"/>
    <w:rsid w:val="005F3C39"/>
    <w:rsid w:val="005F4C99"/>
    <w:rsid w:val="0062482B"/>
    <w:rsid w:val="00633E8B"/>
    <w:rsid w:val="00643B8E"/>
    <w:rsid w:val="006466B2"/>
    <w:rsid w:val="006643B3"/>
    <w:rsid w:val="00672046"/>
    <w:rsid w:val="00674E27"/>
    <w:rsid w:val="00683475"/>
    <w:rsid w:val="00683994"/>
    <w:rsid w:val="006A4DA1"/>
    <w:rsid w:val="006C25A7"/>
    <w:rsid w:val="006D0E31"/>
    <w:rsid w:val="006E3AD5"/>
    <w:rsid w:val="00724A84"/>
    <w:rsid w:val="00737B1B"/>
    <w:rsid w:val="007670B2"/>
    <w:rsid w:val="0078384B"/>
    <w:rsid w:val="00797769"/>
    <w:rsid w:val="007C5B43"/>
    <w:rsid w:val="007D6184"/>
    <w:rsid w:val="007E2396"/>
    <w:rsid w:val="007E5FF9"/>
    <w:rsid w:val="007F5B04"/>
    <w:rsid w:val="007F7F7F"/>
    <w:rsid w:val="00811D19"/>
    <w:rsid w:val="00812892"/>
    <w:rsid w:val="00820DE4"/>
    <w:rsid w:val="0082307C"/>
    <w:rsid w:val="00825423"/>
    <w:rsid w:val="00842EBC"/>
    <w:rsid w:val="00844FE0"/>
    <w:rsid w:val="0084671C"/>
    <w:rsid w:val="00847B69"/>
    <w:rsid w:val="00850F7A"/>
    <w:rsid w:val="00851675"/>
    <w:rsid w:val="00866824"/>
    <w:rsid w:val="008768DF"/>
    <w:rsid w:val="0088203A"/>
    <w:rsid w:val="008871FE"/>
    <w:rsid w:val="008A50DC"/>
    <w:rsid w:val="008B7439"/>
    <w:rsid w:val="008F1212"/>
    <w:rsid w:val="00912FD1"/>
    <w:rsid w:val="009143B3"/>
    <w:rsid w:val="00914F52"/>
    <w:rsid w:val="009175CD"/>
    <w:rsid w:val="009465B1"/>
    <w:rsid w:val="00984D9C"/>
    <w:rsid w:val="00990C76"/>
    <w:rsid w:val="009C0169"/>
    <w:rsid w:val="009D4C5A"/>
    <w:rsid w:val="009D6187"/>
    <w:rsid w:val="009E3C2F"/>
    <w:rsid w:val="00A42500"/>
    <w:rsid w:val="00A443FE"/>
    <w:rsid w:val="00A45C6A"/>
    <w:rsid w:val="00A45D15"/>
    <w:rsid w:val="00A75DB0"/>
    <w:rsid w:val="00A8075C"/>
    <w:rsid w:val="00A85279"/>
    <w:rsid w:val="00A85A2D"/>
    <w:rsid w:val="00AB423A"/>
    <w:rsid w:val="00AD7A83"/>
    <w:rsid w:val="00AE23EF"/>
    <w:rsid w:val="00AF4883"/>
    <w:rsid w:val="00AF6F1B"/>
    <w:rsid w:val="00B2613E"/>
    <w:rsid w:val="00B36835"/>
    <w:rsid w:val="00B500D3"/>
    <w:rsid w:val="00B502A2"/>
    <w:rsid w:val="00B5655C"/>
    <w:rsid w:val="00B770D1"/>
    <w:rsid w:val="00B805B6"/>
    <w:rsid w:val="00B80D86"/>
    <w:rsid w:val="00B82074"/>
    <w:rsid w:val="00B83E36"/>
    <w:rsid w:val="00B923AE"/>
    <w:rsid w:val="00B92F89"/>
    <w:rsid w:val="00B97FD4"/>
    <w:rsid w:val="00BA529D"/>
    <w:rsid w:val="00BB1B3A"/>
    <w:rsid w:val="00BE2358"/>
    <w:rsid w:val="00BE26E3"/>
    <w:rsid w:val="00C033A2"/>
    <w:rsid w:val="00C16CEB"/>
    <w:rsid w:val="00C3522C"/>
    <w:rsid w:val="00C44B76"/>
    <w:rsid w:val="00C55BFE"/>
    <w:rsid w:val="00C92C01"/>
    <w:rsid w:val="00CA7E84"/>
    <w:rsid w:val="00CD1031"/>
    <w:rsid w:val="00CD7EAE"/>
    <w:rsid w:val="00D01973"/>
    <w:rsid w:val="00D12ED3"/>
    <w:rsid w:val="00D257E0"/>
    <w:rsid w:val="00D4180D"/>
    <w:rsid w:val="00D45AD2"/>
    <w:rsid w:val="00D52317"/>
    <w:rsid w:val="00D62C32"/>
    <w:rsid w:val="00D82CF8"/>
    <w:rsid w:val="00DB1991"/>
    <w:rsid w:val="00DB4A1E"/>
    <w:rsid w:val="00DB5EB8"/>
    <w:rsid w:val="00DC28E3"/>
    <w:rsid w:val="00DC7D28"/>
    <w:rsid w:val="00DE0BFE"/>
    <w:rsid w:val="00DE1A1D"/>
    <w:rsid w:val="00E051EF"/>
    <w:rsid w:val="00E14911"/>
    <w:rsid w:val="00E16B58"/>
    <w:rsid w:val="00E20934"/>
    <w:rsid w:val="00E50C2F"/>
    <w:rsid w:val="00E601D4"/>
    <w:rsid w:val="00E639C2"/>
    <w:rsid w:val="00E70DEF"/>
    <w:rsid w:val="00E7261B"/>
    <w:rsid w:val="00E762C8"/>
    <w:rsid w:val="00EA062F"/>
    <w:rsid w:val="00EA2313"/>
    <w:rsid w:val="00EB58DD"/>
    <w:rsid w:val="00ED09C1"/>
    <w:rsid w:val="00EE5B94"/>
    <w:rsid w:val="00EF2D65"/>
    <w:rsid w:val="00F10453"/>
    <w:rsid w:val="00F23439"/>
    <w:rsid w:val="00F44E98"/>
    <w:rsid w:val="00F4514A"/>
    <w:rsid w:val="00F50A6B"/>
    <w:rsid w:val="00F6644A"/>
    <w:rsid w:val="00F71D39"/>
    <w:rsid w:val="00F7377A"/>
    <w:rsid w:val="00F8410B"/>
    <w:rsid w:val="00F94141"/>
    <w:rsid w:val="00FB271B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167F"/>
  <w15:docId w15:val="{41B59D4F-7BC1-4CE7-A986-C0696D6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basedOn w:val="Normalny"/>
    <w:uiPriority w:val="34"/>
    <w:qFormat/>
    <w:rsid w:val="00491D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466B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466B2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466B2"/>
    <w:rPr>
      <w:rFonts w:ascii="Tahoma" w:eastAsia="Tahoma" w:hAnsi="Tahoma" w:cs="Tahoma"/>
      <w:b/>
      <w:bCs/>
      <w:sz w:val="18"/>
      <w:szCs w:val="18"/>
      <w:u w:val="sing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6B2"/>
    <w:pPr>
      <w:widowControl w:val="0"/>
      <w:shd w:val="clear" w:color="auto" w:fill="FFFFFF"/>
      <w:spacing w:after="460" w:line="329" w:lineRule="auto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66B2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Teksttreci40">
    <w:name w:val="Tekst treści (4)"/>
    <w:basedOn w:val="Normalny"/>
    <w:link w:val="Teksttreci4"/>
    <w:rsid w:val="006466B2"/>
    <w:pPr>
      <w:widowControl w:val="0"/>
      <w:shd w:val="clear" w:color="auto" w:fill="FFFFFF"/>
      <w:spacing w:after="280" w:line="240" w:lineRule="auto"/>
      <w:jc w:val="both"/>
    </w:pPr>
    <w:rPr>
      <w:rFonts w:ascii="Tahoma" w:eastAsia="Tahoma" w:hAnsi="Tahoma" w:cs="Tahoma"/>
      <w:b/>
      <w:bCs/>
      <w:sz w:val="18"/>
      <w:szCs w:val="18"/>
      <w:u w:val="single"/>
    </w:rPr>
  </w:style>
  <w:style w:type="character" w:styleId="Pogrubienie">
    <w:name w:val="Strong"/>
    <w:basedOn w:val="Domylnaczcionkaakapitu"/>
    <w:uiPriority w:val="22"/>
    <w:qFormat/>
    <w:rsid w:val="005357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7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24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Marta Ziaja</cp:lastModifiedBy>
  <cp:revision>35</cp:revision>
  <cp:lastPrinted>2022-05-12T10:12:00Z</cp:lastPrinted>
  <dcterms:created xsi:type="dcterms:W3CDTF">2022-02-10T15:15:00Z</dcterms:created>
  <dcterms:modified xsi:type="dcterms:W3CDTF">2022-05-24T10:24:00Z</dcterms:modified>
</cp:coreProperties>
</file>