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21" w:rsidRPr="003A506F" w:rsidRDefault="00E61621" w:rsidP="00E61621">
      <w:pPr>
        <w:ind w:left="7080"/>
        <w:jc w:val="right"/>
        <w:rPr>
          <w:rFonts w:ascii="Tahoma" w:hAnsi="Tahoma" w:cs="Tahoma"/>
          <w:color w:val="000000" w:themeColor="text1"/>
          <w:sz w:val="20"/>
          <w:szCs w:val="22"/>
          <w:lang w:val="pl-PL"/>
        </w:rPr>
      </w:pPr>
      <w:r w:rsidRPr="003A506F">
        <w:rPr>
          <w:rFonts w:ascii="Tahoma" w:hAnsi="Tahoma" w:cs="Tahoma"/>
          <w:color w:val="000000" w:themeColor="text1"/>
          <w:sz w:val="20"/>
          <w:szCs w:val="22"/>
          <w:lang w:val="pl-PL"/>
        </w:rPr>
        <w:t xml:space="preserve">Iława, </w:t>
      </w:r>
      <w:r>
        <w:rPr>
          <w:rFonts w:ascii="Tahoma" w:hAnsi="Tahoma" w:cs="Tahoma"/>
          <w:color w:val="000000" w:themeColor="text1"/>
          <w:sz w:val="20"/>
          <w:szCs w:val="22"/>
          <w:lang w:val="pl-PL"/>
        </w:rPr>
        <w:t>16</w:t>
      </w:r>
      <w:r w:rsidRPr="003A506F">
        <w:rPr>
          <w:rFonts w:ascii="Tahoma" w:hAnsi="Tahoma" w:cs="Tahoma"/>
          <w:color w:val="000000" w:themeColor="text1"/>
          <w:sz w:val="20"/>
          <w:szCs w:val="22"/>
          <w:lang w:val="pl-PL"/>
        </w:rPr>
        <w:t>.0</w:t>
      </w:r>
      <w:r>
        <w:rPr>
          <w:rFonts w:ascii="Tahoma" w:hAnsi="Tahoma" w:cs="Tahoma"/>
          <w:color w:val="000000" w:themeColor="text1"/>
          <w:sz w:val="20"/>
          <w:szCs w:val="22"/>
          <w:lang w:val="pl-PL"/>
        </w:rPr>
        <w:t>5</w:t>
      </w:r>
      <w:r w:rsidRPr="003A506F">
        <w:rPr>
          <w:rFonts w:ascii="Tahoma" w:hAnsi="Tahoma" w:cs="Tahoma"/>
          <w:color w:val="000000" w:themeColor="text1"/>
          <w:sz w:val="20"/>
          <w:szCs w:val="22"/>
          <w:lang w:val="pl-PL"/>
        </w:rPr>
        <w:t>.2019 r.</w:t>
      </w:r>
    </w:p>
    <w:p w:rsidR="00E61621" w:rsidRPr="00EA1C3F" w:rsidRDefault="00E61621" w:rsidP="00E61621">
      <w:pPr>
        <w:jc w:val="both"/>
        <w:rPr>
          <w:rFonts w:cs="Arial"/>
          <w:b/>
          <w:color w:val="000000" w:themeColor="text1"/>
          <w:sz w:val="22"/>
          <w:szCs w:val="22"/>
          <w:lang w:val="pl-PL"/>
        </w:rPr>
      </w:pPr>
    </w:p>
    <w:p w:rsidR="00E61621" w:rsidRPr="00EA1C3F" w:rsidRDefault="00E61621" w:rsidP="00E61621">
      <w:pPr>
        <w:jc w:val="both"/>
        <w:rPr>
          <w:rFonts w:cs="Arial"/>
          <w:b/>
          <w:color w:val="000000" w:themeColor="text1"/>
          <w:sz w:val="22"/>
          <w:szCs w:val="22"/>
          <w:lang w:val="pl-PL"/>
        </w:rPr>
      </w:pPr>
    </w:p>
    <w:p w:rsidR="00E61621" w:rsidRPr="00B8436A" w:rsidRDefault="00E61621" w:rsidP="00E61621">
      <w:pPr>
        <w:spacing w:line="360" w:lineRule="auto"/>
        <w:jc w:val="both"/>
        <w:rPr>
          <w:rFonts w:ascii="Tahoma" w:hAnsi="Tahoma" w:cs="Tahoma"/>
          <w:b/>
          <w:bCs/>
          <w:color w:val="FF0000"/>
          <w:sz w:val="20"/>
          <w:szCs w:val="20"/>
        </w:rPr>
      </w:pPr>
      <w:r w:rsidRPr="00B8436A">
        <w:rPr>
          <w:rFonts w:ascii="Tahoma" w:hAnsi="Tahoma" w:cs="Tahoma"/>
          <w:b/>
          <w:color w:val="000000" w:themeColor="text1"/>
          <w:sz w:val="20"/>
          <w:szCs w:val="20"/>
        </w:rPr>
        <w:t>dotyczy</w:t>
      </w:r>
      <w:r w:rsidRPr="001A5163">
        <w:rPr>
          <w:rFonts w:ascii="Tahoma" w:hAnsi="Tahoma" w:cs="Tahoma"/>
          <w:b/>
          <w:color w:val="000000" w:themeColor="text1"/>
          <w:sz w:val="20"/>
          <w:szCs w:val="20"/>
        </w:rPr>
        <w:t xml:space="preserve">: </w:t>
      </w:r>
      <w:r w:rsidRPr="00FF1429">
        <w:rPr>
          <w:rFonts w:ascii="Tahoma" w:hAnsi="Tahoma" w:cs="Tahoma"/>
          <w:b/>
          <w:color w:val="000000" w:themeColor="text1"/>
          <w:sz w:val="20"/>
          <w:szCs w:val="20"/>
        </w:rPr>
        <w:t>dostawę sprzętu medycznego z podziałem na 14 części dla Powiatowego Szpitala im. Władysława Biegańskiego w Iławie (nr sprawy 7/2019)</w:t>
      </w:r>
    </w:p>
    <w:p w:rsidR="00E61621" w:rsidRPr="00B8436A" w:rsidRDefault="00E61621" w:rsidP="00E61621">
      <w:pPr>
        <w:rPr>
          <w:rFonts w:ascii="Tahoma" w:hAnsi="Tahoma" w:cs="Tahoma"/>
          <w:b/>
          <w:color w:val="FF0000"/>
          <w:sz w:val="20"/>
          <w:szCs w:val="20"/>
          <w:lang w:val="pl-PL"/>
        </w:rPr>
      </w:pPr>
    </w:p>
    <w:p w:rsidR="00E61621" w:rsidRPr="009D3230" w:rsidRDefault="00E61621" w:rsidP="00E61621">
      <w:pPr>
        <w:jc w:val="both"/>
        <w:rPr>
          <w:rFonts w:ascii="Tahoma" w:hAnsi="Tahoma" w:cs="Tahoma"/>
          <w:iCs/>
          <w:color w:val="000000" w:themeColor="text1"/>
          <w:sz w:val="20"/>
          <w:szCs w:val="20"/>
          <w:lang w:val="pl-PL"/>
        </w:rPr>
      </w:pPr>
      <w:r w:rsidRPr="00B8436A">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w:t>
      </w:r>
      <w:r>
        <w:rPr>
          <w:rFonts w:ascii="Tahoma" w:hAnsi="Tahoma" w:cs="Tahoma"/>
          <w:iCs/>
          <w:color w:val="000000" w:themeColor="text1"/>
          <w:sz w:val="20"/>
          <w:szCs w:val="20"/>
          <w:lang w:val="pl-PL"/>
        </w:rPr>
        <w:t xml:space="preserve"> publicznych (</w:t>
      </w:r>
      <w:r w:rsidRPr="009D3230">
        <w:rPr>
          <w:rFonts w:ascii="Tahoma" w:eastAsia="TimesNewRomanPSMT" w:hAnsi="Tahoma" w:cs="Tahoma"/>
          <w:sz w:val="20"/>
        </w:rPr>
        <w:t>t.j. Dz.U. z 201</w:t>
      </w:r>
      <w:r>
        <w:rPr>
          <w:rFonts w:ascii="Tahoma" w:eastAsia="TimesNewRomanPSMT" w:hAnsi="Tahoma" w:cs="Tahoma"/>
          <w:sz w:val="20"/>
        </w:rPr>
        <w:t>8</w:t>
      </w:r>
      <w:r w:rsidRPr="009D3230">
        <w:rPr>
          <w:rFonts w:ascii="Tahoma" w:eastAsia="TimesNewRomanPSMT" w:hAnsi="Tahoma" w:cs="Tahoma"/>
          <w:sz w:val="20"/>
        </w:rPr>
        <w:t xml:space="preserve"> r. poz.</w:t>
      </w:r>
      <w:r>
        <w:rPr>
          <w:rFonts w:ascii="Tahoma" w:eastAsia="TimesNewRomanPSMT" w:hAnsi="Tahoma" w:cs="Tahoma"/>
          <w:sz w:val="20"/>
        </w:rPr>
        <w:t xml:space="preserve"> 1986</w:t>
      </w:r>
      <w:r w:rsidRPr="009D3230">
        <w:rPr>
          <w:rFonts w:ascii="Tahoma" w:hAnsi="Tahoma" w:cs="Tahoma"/>
          <w:iCs/>
          <w:color w:val="000000" w:themeColor="text1"/>
          <w:sz w:val="20"/>
          <w:szCs w:val="20"/>
          <w:lang w:val="pl-PL"/>
        </w:rPr>
        <w:t>)  odpowiada:</w:t>
      </w:r>
    </w:p>
    <w:p w:rsidR="00E61621" w:rsidRPr="00B8436A" w:rsidRDefault="00E61621" w:rsidP="00E61621">
      <w:pPr>
        <w:jc w:val="both"/>
        <w:rPr>
          <w:rFonts w:ascii="Tahoma" w:hAnsi="Tahoma" w:cs="Tahoma"/>
          <w:iCs/>
          <w:color w:val="000000" w:themeColor="text1"/>
          <w:sz w:val="20"/>
          <w:szCs w:val="20"/>
          <w:lang w:val="pl-PL"/>
        </w:rPr>
      </w:pPr>
    </w:p>
    <w:p w:rsidR="00E61621" w:rsidRPr="00B8436A" w:rsidRDefault="00E61621" w:rsidP="00E61621">
      <w:pPr>
        <w:jc w:val="both"/>
        <w:rPr>
          <w:rFonts w:ascii="Tahoma" w:hAnsi="Tahoma" w:cs="Tahoma"/>
          <w:b/>
          <w:iCs/>
          <w:color w:val="000000" w:themeColor="text1"/>
          <w:sz w:val="20"/>
          <w:szCs w:val="20"/>
          <w:u w:val="single"/>
          <w:lang w:val="pl-PL"/>
        </w:rPr>
      </w:pPr>
      <w:r w:rsidRPr="00B8436A">
        <w:rPr>
          <w:rFonts w:ascii="Tahoma" w:hAnsi="Tahoma" w:cs="Tahoma"/>
          <w:b/>
          <w:iCs/>
          <w:color w:val="000000" w:themeColor="text1"/>
          <w:sz w:val="20"/>
          <w:szCs w:val="20"/>
          <w:u w:val="single"/>
          <w:lang w:val="pl-PL"/>
        </w:rPr>
        <w:t>Zapytanie 1</w:t>
      </w:r>
    </w:p>
    <w:p w:rsidR="00E61621" w:rsidRPr="00B8436A" w:rsidRDefault="00E61621" w:rsidP="00E61621">
      <w:pPr>
        <w:jc w:val="both"/>
        <w:rPr>
          <w:rFonts w:ascii="Tahoma" w:hAnsi="Tahoma" w:cs="Tahoma"/>
          <w:b/>
          <w:iCs/>
          <w:color w:val="000000" w:themeColor="text1"/>
          <w:sz w:val="20"/>
          <w:szCs w:val="20"/>
          <w:u w:val="single"/>
          <w:lang w:val="pl-PL"/>
        </w:rPr>
      </w:pPr>
    </w:p>
    <w:p w:rsidR="00E61621" w:rsidRDefault="00E61621" w:rsidP="00E61621">
      <w:pPr>
        <w:autoSpaceDE w:val="0"/>
        <w:autoSpaceDN w:val="0"/>
        <w:adjustRightInd w:val="0"/>
        <w:rPr>
          <w:b/>
          <w:color w:val="000000"/>
        </w:rPr>
      </w:pPr>
      <w:r w:rsidRPr="00A25C37">
        <w:rPr>
          <w:b/>
          <w:color w:val="000000"/>
        </w:rPr>
        <w:t>Część nr 2 Radialna fala uderzeniowa</w:t>
      </w:r>
    </w:p>
    <w:p w:rsidR="00E61621" w:rsidRDefault="00E61621" w:rsidP="00E61621">
      <w:pPr>
        <w:autoSpaceDE w:val="0"/>
        <w:autoSpaceDN w:val="0"/>
        <w:adjustRightInd w:val="0"/>
        <w:rPr>
          <w:b/>
          <w:color w:val="000000"/>
        </w:rPr>
      </w:pPr>
    </w:p>
    <w:p w:rsidR="00E61621" w:rsidRPr="00EE6EEF" w:rsidRDefault="00E61621" w:rsidP="00E61621">
      <w:pPr>
        <w:spacing w:line="360" w:lineRule="auto"/>
        <w:rPr>
          <w:rFonts w:ascii="Tahoma" w:hAnsi="Tahoma" w:cs="Tahoma"/>
          <w:b/>
          <w:sz w:val="20"/>
          <w:szCs w:val="20"/>
        </w:rPr>
      </w:pPr>
      <w:r w:rsidRPr="00EE6EEF">
        <w:rPr>
          <w:rFonts w:ascii="Tahoma" w:hAnsi="Tahoma" w:cs="Tahoma"/>
          <w:b/>
          <w:sz w:val="20"/>
          <w:szCs w:val="20"/>
        </w:rPr>
        <w:t>Pytanie nr 1</w:t>
      </w:r>
    </w:p>
    <w:p w:rsidR="00E61621" w:rsidRDefault="00E61621" w:rsidP="00E61621">
      <w:pPr>
        <w:suppressAutoHyphens/>
        <w:jc w:val="both"/>
      </w:pPr>
      <w:r>
        <w:t>Dot. Pkt. 1,4 - Prosimy o dopuszczenie urządzenia, które posiada możliwość regulacji częstotliwości pracy w zakresie 1 -31 Hz oraz  z regulacją ciśnienia od 0,3 do 5 bar bez funkcji Soft start ze skokiem 0,1 bar. Producent urządzenia zapewnił minimalne ciśnienie pracy od 0,3 bar bez potrzeby użycia tej funkcji. Parametry te są wystarczające do przeprowadzenia wszystkich procedur z wykorzystaniem fali uderzeniowej w ortopedii i rehabilitacji.</w:t>
      </w:r>
    </w:p>
    <w:p w:rsidR="00E61621" w:rsidRDefault="00E61621" w:rsidP="00E61621">
      <w:pPr>
        <w:suppressAutoHyphens/>
        <w:jc w:val="both"/>
      </w:pPr>
      <w:r w:rsidRPr="00B30DC3">
        <w:rPr>
          <w:rFonts w:ascii="Tahoma" w:hAnsi="Tahoma" w:cs="Tahoma"/>
          <w:b/>
          <w:bCs/>
          <w:sz w:val="20"/>
          <w:szCs w:val="20"/>
        </w:rPr>
        <w:t>Odpowiedź:</w:t>
      </w:r>
      <w:r w:rsidR="00D6153B">
        <w:rPr>
          <w:rFonts w:ascii="Tahoma" w:hAnsi="Tahoma" w:cs="Tahoma"/>
          <w:b/>
          <w:bCs/>
          <w:sz w:val="20"/>
          <w:szCs w:val="20"/>
        </w:rPr>
        <w:t xml:space="preserve"> Dopuszcza</w:t>
      </w:r>
    </w:p>
    <w:p w:rsidR="00E61621" w:rsidRDefault="00E61621" w:rsidP="00E61621">
      <w:pPr>
        <w:suppressAutoHyphens/>
        <w:jc w:val="both"/>
      </w:pPr>
    </w:p>
    <w:p w:rsidR="00E61621" w:rsidRDefault="00E61621" w:rsidP="00E61621">
      <w:pPr>
        <w:suppressAutoHyphens/>
        <w:jc w:val="both"/>
      </w:pPr>
    </w:p>
    <w:p w:rsidR="00E61621" w:rsidRDefault="00E61621" w:rsidP="00E61621">
      <w:pPr>
        <w:suppressAutoHyphens/>
        <w:jc w:val="both"/>
      </w:pPr>
      <w:r w:rsidRPr="00EE6EEF">
        <w:rPr>
          <w:rFonts w:ascii="Tahoma" w:hAnsi="Tahoma" w:cs="Tahoma"/>
          <w:b/>
          <w:sz w:val="20"/>
          <w:szCs w:val="20"/>
        </w:rPr>
        <w:t>Pytanie nr</w:t>
      </w:r>
      <w:r w:rsidR="00B41C79">
        <w:rPr>
          <w:rFonts w:ascii="Tahoma" w:hAnsi="Tahoma" w:cs="Tahoma"/>
          <w:b/>
          <w:sz w:val="20"/>
          <w:szCs w:val="20"/>
        </w:rPr>
        <w:t xml:space="preserve"> 2</w:t>
      </w:r>
    </w:p>
    <w:p w:rsidR="00E61621" w:rsidRDefault="00E61621" w:rsidP="00E61621">
      <w:pPr>
        <w:suppressAutoHyphens/>
        <w:jc w:val="both"/>
      </w:pPr>
      <w:r>
        <w:t>Dot. Pkt. 6,7 - Prosimy o dopuszczenie urządzenia z możliwością zapisu pow. 200 parametrów zabiegu i pacjentów.  Parametry zabiegu wybiera się albo wybierając obszar który nas interesuje, albo wybierając schorzenie, które chcemy poddać zabiegowi. Producent nie widział sensu podzielenia zabiegów na: standardowe, punkty bólu, sportowe i własne. Parametry te są zbyteczny i nie mając wpływu na jakość przeprowadzonego zabiegu.</w:t>
      </w:r>
    </w:p>
    <w:p w:rsidR="00E61621" w:rsidRDefault="00E61621" w:rsidP="00E61621">
      <w:pPr>
        <w:suppressAutoHyphens/>
        <w:jc w:val="both"/>
        <w:rPr>
          <w:rFonts w:ascii="Tahoma" w:hAnsi="Tahoma" w:cs="Tahoma"/>
          <w:b/>
          <w:bCs/>
          <w:sz w:val="20"/>
          <w:szCs w:val="20"/>
        </w:rPr>
      </w:pPr>
      <w:r w:rsidRPr="00B30DC3">
        <w:rPr>
          <w:rFonts w:ascii="Tahoma" w:hAnsi="Tahoma" w:cs="Tahoma"/>
          <w:b/>
          <w:bCs/>
          <w:sz w:val="20"/>
          <w:szCs w:val="20"/>
        </w:rPr>
        <w:t>Odpowiedź:</w:t>
      </w:r>
      <w:r w:rsidR="00D6153B">
        <w:rPr>
          <w:rFonts w:ascii="Tahoma" w:hAnsi="Tahoma" w:cs="Tahoma"/>
          <w:b/>
          <w:bCs/>
          <w:sz w:val="20"/>
          <w:szCs w:val="20"/>
        </w:rPr>
        <w:t xml:space="preserve"> Dopuszcza</w:t>
      </w:r>
    </w:p>
    <w:p w:rsidR="00E61621" w:rsidRDefault="00E61621" w:rsidP="00E61621">
      <w:pPr>
        <w:suppressAutoHyphens/>
        <w:jc w:val="both"/>
        <w:rPr>
          <w:rFonts w:ascii="Tahoma" w:hAnsi="Tahoma" w:cs="Tahoma"/>
          <w:b/>
          <w:bCs/>
          <w:sz w:val="20"/>
          <w:szCs w:val="20"/>
        </w:rPr>
      </w:pPr>
    </w:p>
    <w:p w:rsidR="00E61621" w:rsidRDefault="00E61621" w:rsidP="00E61621">
      <w:pPr>
        <w:suppressAutoHyphens/>
        <w:jc w:val="both"/>
      </w:pPr>
      <w:r w:rsidRPr="00EE6EEF">
        <w:rPr>
          <w:rFonts w:ascii="Tahoma" w:hAnsi="Tahoma" w:cs="Tahoma"/>
          <w:b/>
          <w:sz w:val="20"/>
          <w:szCs w:val="20"/>
        </w:rPr>
        <w:t>Pytanie nr</w:t>
      </w:r>
      <w:r w:rsidR="00B41C79">
        <w:rPr>
          <w:rFonts w:ascii="Tahoma" w:hAnsi="Tahoma" w:cs="Tahoma"/>
          <w:b/>
          <w:sz w:val="20"/>
          <w:szCs w:val="20"/>
        </w:rPr>
        <w:t xml:space="preserve"> 3</w:t>
      </w:r>
    </w:p>
    <w:p w:rsidR="00E61621" w:rsidRDefault="00E61621" w:rsidP="00E61621">
      <w:pPr>
        <w:suppressAutoHyphens/>
        <w:jc w:val="both"/>
      </w:pPr>
      <w:r>
        <w:t xml:space="preserve">Dot. Pkt. 9,12 - Prosimy o dopuszczenie urządzenia z menu w języku angielskim, niemieckim a lista przeciwskazań jest dostarczona oddzielnie w instrukcji obsługi oraz w formie papierowej. </w:t>
      </w:r>
    </w:p>
    <w:p w:rsidR="00E61621" w:rsidRPr="00941EAB" w:rsidRDefault="00E61621" w:rsidP="00E61621">
      <w:pPr>
        <w:suppressAutoHyphens/>
        <w:jc w:val="both"/>
        <w:rPr>
          <w:rFonts w:ascii="Tahoma" w:hAnsi="Tahoma" w:cs="Tahoma"/>
          <w:b/>
          <w:bCs/>
          <w:sz w:val="20"/>
          <w:szCs w:val="20"/>
        </w:rPr>
      </w:pPr>
      <w:r w:rsidRPr="00B30DC3">
        <w:rPr>
          <w:rFonts w:ascii="Tahoma" w:hAnsi="Tahoma" w:cs="Tahoma"/>
          <w:b/>
          <w:bCs/>
          <w:sz w:val="20"/>
          <w:szCs w:val="20"/>
        </w:rPr>
        <w:t>Odpowiedź:</w:t>
      </w:r>
      <w:r w:rsidR="00941EAB" w:rsidRPr="00941EAB">
        <w:t xml:space="preserve"> </w:t>
      </w:r>
      <w:r w:rsidR="00941EAB" w:rsidRPr="00941EAB">
        <w:rPr>
          <w:b/>
        </w:rPr>
        <w:t>Tak, dopuszcza</w:t>
      </w:r>
      <w:r w:rsidR="00941EAB">
        <w:rPr>
          <w:b/>
        </w:rPr>
        <w:t xml:space="preserve"> menu</w:t>
      </w:r>
      <w:r w:rsidR="00941EAB" w:rsidRPr="00941EAB">
        <w:rPr>
          <w:b/>
        </w:rPr>
        <w:t>. Lista przeciwskazań oraz instrukcja obsługi w języku polskim.</w:t>
      </w:r>
    </w:p>
    <w:p w:rsidR="00E61621" w:rsidRDefault="00E61621" w:rsidP="00E61621">
      <w:pPr>
        <w:suppressAutoHyphens/>
        <w:jc w:val="both"/>
        <w:rPr>
          <w:rFonts w:ascii="Tahoma" w:hAnsi="Tahoma" w:cs="Tahoma"/>
          <w:b/>
          <w:bCs/>
          <w:sz w:val="20"/>
          <w:szCs w:val="20"/>
        </w:rPr>
      </w:pPr>
    </w:p>
    <w:p w:rsidR="00E61621" w:rsidRDefault="00E61621" w:rsidP="00E61621">
      <w:pPr>
        <w:suppressAutoHyphens/>
        <w:jc w:val="both"/>
      </w:pPr>
      <w:r w:rsidRPr="00EE6EEF">
        <w:rPr>
          <w:rFonts w:ascii="Tahoma" w:hAnsi="Tahoma" w:cs="Tahoma"/>
          <w:b/>
          <w:sz w:val="20"/>
          <w:szCs w:val="20"/>
        </w:rPr>
        <w:t>Pytanie nr</w:t>
      </w:r>
      <w:r w:rsidR="00B41C79">
        <w:rPr>
          <w:rFonts w:ascii="Tahoma" w:hAnsi="Tahoma" w:cs="Tahoma"/>
          <w:b/>
          <w:sz w:val="20"/>
          <w:szCs w:val="20"/>
        </w:rPr>
        <w:t xml:space="preserve"> 4</w:t>
      </w:r>
    </w:p>
    <w:p w:rsidR="00E61621" w:rsidRDefault="00E61621" w:rsidP="00E61621">
      <w:pPr>
        <w:suppressAutoHyphens/>
        <w:jc w:val="both"/>
      </w:pPr>
      <w:r>
        <w:t xml:space="preserve">Dot. Pkt 13 - Prosimy o dopuszczenie do urządzenia z kompresorem powietrznym z turbiną. Producent nie podaje wydajności kompresora, ale zapewnia prawidłowe działanie dla pracy urządzenia w danym zakresie, czyli 0,3 – 5,0 bar. Należy zauważyć, że kompresor powietrzny jest rozwiązaniem nowocześniejszym a dodatkowo jest to kompresor bezobsługowy i nie </w:t>
      </w:r>
      <w:r>
        <w:lastRenderedPageBreak/>
        <w:t>wymaga uzupełniania olejem oraz wymiany filtra i opróżniania zbiornika z gromadzącą się wodą.  Dzięki takiemu rozwiązaniu samo urządzenie jest lżejsze i łatwiejsze w transporcie.</w:t>
      </w:r>
    </w:p>
    <w:p w:rsidR="00C31F14" w:rsidRDefault="00C31F14" w:rsidP="00C31F14">
      <w:pPr>
        <w:suppressAutoHyphens/>
        <w:jc w:val="both"/>
        <w:rPr>
          <w:rFonts w:ascii="Tahoma" w:hAnsi="Tahoma" w:cs="Tahoma"/>
          <w:b/>
          <w:bCs/>
          <w:sz w:val="20"/>
          <w:szCs w:val="20"/>
        </w:rPr>
      </w:pPr>
      <w:r w:rsidRPr="00B30DC3">
        <w:rPr>
          <w:rFonts w:ascii="Tahoma" w:hAnsi="Tahoma" w:cs="Tahoma"/>
          <w:b/>
          <w:bCs/>
          <w:sz w:val="20"/>
          <w:szCs w:val="20"/>
        </w:rPr>
        <w:t>Odpowiedź:</w:t>
      </w:r>
      <w:r w:rsidR="00B41C79">
        <w:rPr>
          <w:rFonts w:ascii="Tahoma" w:hAnsi="Tahoma" w:cs="Tahoma"/>
          <w:b/>
          <w:bCs/>
          <w:sz w:val="20"/>
          <w:szCs w:val="20"/>
        </w:rPr>
        <w:t xml:space="preserve"> Dopuszcza</w:t>
      </w:r>
    </w:p>
    <w:p w:rsidR="00C31F14" w:rsidRDefault="00C31F14" w:rsidP="00E61621">
      <w:pPr>
        <w:suppressAutoHyphens/>
        <w:jc w:val="both"/>
      </w:pPr>
    </w:p>
    <w:p w:rsidR="00C31F14" w:rsidRDefault="00C31F14" w:rsidP="00C31F14">
      <w:pPr>
        <w:suppressAutoHyphens/>
        <w:jc w:val="both"/>
      </w:pPr>
      <w:r w:rsidRPr="00EE6EEF">
        <w:rPr>
          <w:rFonts w:ascii="Tahoma" w:hAnsi="Tahoma" w:cs="Tahoma"/>
          <w:b/>
          <w:sz w:val="20"/>
          <w:szCs w:val="20"/>
        </w:rPr>
        <w:t>Pytanie nr</w:t>
      </w:r>
      <w:r w:rsidR="00B41C79">
        <w:rPr>
          <w:rFonts w:ascii="Tahoma" w:hAnsi="Tahoma" w:cs="Tahoma"/>
          <w:b/>
          <w:sz w:val="20"/>
          <w:szCs w:val="20"/>
        </w:rPr>
        <w:t xml:space="preserve"> 5</w:t>
      </w:r>
    </w:p>
    <w:p w:rsidR="00E61621" w:rsidRDefault="00E61621" w:rsidP="00C31F14">
      <w:pPr>
        <w:suppressAutoHyphens/>
        <w:jc w:val="both"/>
      </w:pPr>
      <w:r>
        <w:t>Dot. Pkt. 16 - Z uwagi na fakt, że prawidłowo przeprowadzony zabieg składa się z 3 etapów zabiegu, czy Zamawiający miał na myśli w pkt. 16 zaoferowanie w zestawie głowicy do masażu, czy tylko opcję podłączenia tej głowicy?</w:t>
      </w:r>
    </w:p>
    <w:p w:rsidR="00C31F14" w:rsidRDefault="00C31F14" w:rsidP="00C31F14">
      <w:pPr>
        <w:suppressAutoHyphens/>
        <w:jc w:val="both"/>
        <w:rPr>
          <w:rFonts w:ascii="Tahoma" w:hAnsi="Tahoma" w:cs="Tahoma"/>
          <w:b/>
          <w:bCs/>
          <w:sz w:val="20"/>
          <w:szCs w:val="20"/>
        </w:rPr>
      </w:pPr>
      <w:r w:rsidRPr="00B30DC3">
        <w:rPr>
          <w:rFonts w:ascii="Tahoma" w:hAnsi="Tahoma" w:cs="Tahoma"/>
          <w:b/>
          <w:bCs/>
          <w:sz w:val="20"/>
          <w:szCs w:val="20"/>
        </w:rPr>
        <w:t>Odpowiedź:</w:t>
      </w:r>
      <w:r w:rsidR="00B41C79">
        <w:rPr>
          <w:rFonts w:ascii="Tahoma" w:hAnsi="Tahoma" w:cs="Tahoma"/>
          <w:b/>
          <w:bCs/>
          <w:sz w:val="20"/>
          <w:szCs w:val="20"/>
        </w:rPr>
        <w:t xml:space="preserve"> Tylko opcję podłączenia tej głowicy</w:t>
      </w:r>
    </w:p>
    <w:p w:rsidR="00C31F14" w:rsidRDefault="00C31F14" w:rsidP="00C31F14">
      <w:pPr>
        <w:suppressAutoHyphens/>
        <w:jc w:val="both"/>
      </w:pPr>
    </w:p>
    <w:p w:rsidR="00C31F14" w:rsidRDefault="00C31F14" w:rsidP="00C31F14">
      <w:pPr>
        <w:suppressAutoHyphens/>
        <w:jc w:val="both"/>
      </w:pPr>
      <w:r w:rsidRPr="00EE6EEF">
        <w:rPr>
          <w:rFonts w:ascii="Tahoma" w:hAnsi="Tahoma" w:cs="Tahoma"/>
          <w:b/>
          <w:sz w:val="20"/>
          <w:szCs w:val="20"/>
        </w:rPr>
        <w:t>Pytanie nr</w:t>
      </w:r>
      <w:r w:rsidR="00B41C79">
        <w:rPr>
          <w:rFonts w:ascii="Tahoma" w:hAnsi="Tahoma" w:cs="Tahoma"/>
          <w:b/>
          <w:sz w:val="20"/>
          <w:szCs w:val="20"/>
        </w:rPr>
        <w:t xml:space="preserve"> 6</w:t>
      </w:r>
    </w:p>
    <w:p w:rsidR="00E61621" w:rsidRDefault="00E61621" w:rsidP="00C31F14">
      <w:pPr>
        <w:suppressAutoHyphens/>
        <w:jc w:val="both"/>
      </w:pPr>
      <w:r>
        <w:t>Dot. Pkt. 17, 20, 21, 22 - Prosimy o dopuszczenie urządzenia o wadze ok. 50 kg  i wymiarach samego urządzenia 14,4 x 42,6 x 34 cm i wymiarach stolika około  85 x 57 x 60 cm. Stolik jest dopasowany do urządzenia i posiada uchwyt z przodu do łatwego manewrowania.  Wielkość urządzenia nie powinna ograniczać możliwości złożenia oferty. Urządzenie jest lżejsze i łatwiejsze w transporcie pomiędzy salami.</w:t>
      </w:r>
    </w:p>
    <w:p w:rsidR="00C31F14" w:rsidRDefault="00C31F14" w:rsidP="00C31F14">
      <w:pPr>
        <w:suppressAutoHyphens/>
        <w:jc w:val="both"/>
        <w:rPr>
          <w:rFonts w:ascii="Tahoma" w:hAnsi="Tahoma" w:cs="Tahoma"/>
          <w:b/>
          <w:bCs/>
          <w:sz w:val="20"/>
          <w:szCs w:val="20"/>
        </w:rPr>
      </w:pPr>
      <w:r w:rsidRPr="00B30DC3">
        <w:rPr>
          <w:rFonts w:ascii="Tahoma" w:hAnsi="Tahoma" w:cs="Tahoma"/>
          <w:b/>
          <w:bCs/>
          <w:sz w:val="20"/>
          <w:szCs w:val="20"/>
        </w:rPr>
        <w:t>Odpowiedź:</w:t>
      </w:r>
      <w:r w:rsidR="00B41C79">
        <w:rPr>
          <w:rFonts w:ascii="Tahoma" w:hAnsi="Tahoma" w:cs="Tahoma"/>
          <w:b/>
          <w:bCs/>
          <w:sz w:val="20"/>
          <w:szCs w:val="20"/>
        </w:rPr>
        <w:t xml:space="preserve"> Dopuszcza</w:t>
      </w:r>
    </w:p>
    <w:p w:rsidR="00C31F14" w:rsidRDefault="00C31F14" w:rsidP="00C31F14">
      <w:pPr>
        <w:suppressAutoHyphens/>
        <w:jc w:val="both"/>
      </w:pPr>
    </w:p>
    <w:p w:rsidR="00C31F14" w:rsidRDefault="00C31F14" w:rsidP="00C31F14">
      <w:pPr>
        <w:suppressAutoHyphens/>
        <w:jc w:val="both"/>
      </w:pPr>
      <w:r w:rsidRPr="00EE6EEF">
        <w:rPr>
          <w:rFonts w:ascii="Tahoma" w:hAnsi="Tahoma" w:cs="Tahoma"/>
          <w:b/>
          <w:sz w:val="20"/>
          <w:szCs w:val="20"/>
        </w:rPr>
        <w:t>Pytanie nr</w:t>
      </w:r>
      <w:r w:rsidR="00B41C79">
        <w:rPr>
          <w:rFonts w:ascii="Tahoma" w:hAnsi="Tahoma" w:cs="Tahoma"/>
          <w:b/>
          <w:sz w:val="20"/>
          <w:szCs w:val="20"/>
        </w:rPr>
        <w:t xml:space="preserve"> 7</w:t>
      </w:r>
    </w:p>
    <w:p w:rsidR="00E61621" w:rsidRDefault="00E61621" w:rsidP="00C31F14">
      <w:pPr>
        <w:suppressAutoHyphens/>
        <w:jc w:val="both"/>
      </w:pPr>
      <w:r>
        <w:t>Urządzenie do terapii fala uderzeniową posiadają materiały eksploatacyjne, zużywalne, które nie są objętą gwarancją. np. nabój, rurka, aplikatory oraz głowicę zabiegową, która objęta jest 1 mln uderzeń. Czy w związku z powyższym Zamawiający wyrazi zgodę, aby w/w elementy nie były objęte wymaganym okresem gwarancji.</w:t>
      </w:r>
    </w:p>
    <w:p w:rsidR="00C31F14" w:rsidRDefault="00C31F14" w:rsidP="00C31F14">
      <w:pPr>
        <w:suppressAutoHyphens/>
        <w:jc w:val="both"/>
        <w:rPr>
          <w:rFonts w:ascii="Tahoma" w:hAnsi="Tahoma" w:cs="Tahoma"/>
          <w:b/>
          <w:bCs/>
          <w:sz w:val="20"/>
          <w:szCs w:val="20"/>
        </w:rPr>
      </w:pPr>
      <w:r w:rsidRPr="00B30DC3">
        <w:rPr>
          <w:rFonts w:ascii="Tahoma" w:hAnsi="Tahoma" w:cs="Tahoma"/>
          <w:b/>
          <w:bCs/>
          <w:sz w:val="20"/>
          <w:szCs w:val="20"/>
        </w:rPr>
        <w:t>Odpowiedź:</w:t>
      </w:r>
      <w:r w:rsidR="00B41C79">
        <w:rPr>
          <w:rFonts w:ascii="Tahoma" w:hAnsi="Tahoma" w:cs="Tahoma"/>
          <w:b/>
          <w:bCs/>
          <w:sz w:val="20"/>
          <w:szCs w:val="20"/>
        </w:rPr>
        <w:t xml:space="preserve"> Zgodnie z SIWZ</w:t>
      </w:r>
    </w:p>
    <w:p w:rsidR="00E61621" w:rsidRDefault="00E61621" w:rsidP="00E61621"/>
    <w:p w:rsidR="00E61621" w:rsidRPr="00EE6EEF" w:rsidRDefault="00E61621" w:rsidP="00E61621">
      <w:pPr>
        <w:spacing w:after="160" w:line="259" w:lineRule="auto"/>
        <w:jc w:val="both"/>
        <w:rPr>
          <w:rFonts w:ascii="Tahoma" w:hAnsi="Tahoma" w:cs="Tahoma"/>
          <w:b/>
          <w:bCs/>
          <w:color w:val="000000" w:themeColor="text1"/>
          <w:sz w:val="20"/>
          <w:szCs w:val="20"/>
          <w:u w:val="single"/>
        </w:rPr>
      </w:pPr>
    </w:p>
    <w:p w:rsidR="00E61621" w:rsidRPr="00EE6EEF" w:rsidRDefault="00E61621" w:rsidP="00E61621">
      <w:pPr>
        <w:spacing w:after="160" w:line="259" w:lineRule="auto"/>
        <w:jc w:val="both"/>
        <w:rPr>
          <w:rFonts w:ascii="Tahoma" w:hAnsi="Tahoma" w:cs="Tahoma"/>
          <w:b/>
          <w:bCs/>
          <w:color w:val="000000" w:themeColor="text1"/>
          <w:sz w:val="20"/>
          <w:szCs w:val="20"/>
        </w:rPr>
      </w:pPr>
    </w:p>
    <w:p w:rsidR="00E61621" w:rsidRPr="00650363" w:rsidRDefault="00E61621" w:rsidP="00E61621">
      <w:pPr>
        <w:pStyle w:val="Bezodstpw"/>
        <w:rPr>
          <w:rFonts w:ascii="Tahoma" w:hAnsi="Tahoma" w:cs="Tahoma"/>
          <w:b/>
          <w:sz w:val="20"/>
          <w:szCs w:val="20"/>
          <w:u w:val="single"/>
        </w:rPr>
      </w:pPr>
      <w:r w:rsidRPr="00650363">
        <w:rPr>
          <w:rFonts w:ascii="Tahoma" w:hAnsi="Tahoma" w:cs="Tahoma"/>
          <w:b/>
          <w:sz w:val="20"/>
          <w:szCs w:val="20"/>
          <w:u w:val="single"/>
        </w:rPr>
        <w:t xml:space="preserve">Jednocześnie, na podstawie art. 38 ust. 6 w powiązaniu z art. 38 ust. 1 pkt. 1) w/w ustawy Zamawiający przedłuża termin składania ofert do dnia </w:t>
      </w:r>
      <w:r>
        <w:rPr>
          <w:rFonts w:ascii="Tahoma" w:hAnsi="Tahoma" w:cs="Tahoma"/>
          <w:b/>
          <w:sz w:val="20"/>
          <w:szCs w:val="20"/>
          <w:u w:val="single"/>
        </w:rPr>
        <w:t>2</w:t>
      </w:r>
      <w:r w:rsidR="00D6153B">
        <w:rPr>
          <w:rFonts w:ascii="Tahoma" w:hAnsi="Tahoma" w:cs="Tahoma"/>
          <w:b/>
          <w:sz w:val="20"/>
          <w:szCs w:val="20"/>
          <w:u w:val="single"/>
        </w:rPr>
        <w:t>4</w:t>
      </w:r>
      <w:r w:rsidRPr="00650363">
        <w:rPr>
          <w:rFonts w:ascii="Tahoma" w:hAnsi="Tahoma" w:cs="Tahoma"/>
          <w:b/>
          <w:sz w:val="20"/>
          <w:szCs w:val="20"/>
          <w:u w:val="single"/>
        </w:rPr>
        <w:t>.0</w:t>
      </w:r>
      <w:r>
        <w:rPr>
          <w:rFonts w:ascii="Tahoma" w:hAnsi="Tahoma" w:cs="Tahoma"/>
          <w:b/>
          <w:sz w:val="20"/>
          <w:szCs w:val="20"/>
          <w:u w:val="single"/>
        </w:rPr>
        <w:t>5.</w:t>
      </w:r>
      <w:r w:rsidRPr="00650363">
        <w:rPr>
          <w:rFonts w:ascii="Tahoma" w:hAnsi="Tahoma" w:cs="Tahoma"/>
          <w:b/>
          <w:sz w:val="20"/>
          <w:szCs w:val="20"/>
          <w:u w:val="single"/>
        </w:rPr>
        <w:t>201</w:t>
      </w:r>
      <w:r>
        <w:rPr>
          <w:rFonts w:ascii="Tahoma" w:hAnsi="Tahoma" w:cs="Tahoma"/>
          <w:b/>
          <w:sz w:val="20"/>
          <w:szCs w:val="20"/>
          <w:u w:val="single"/>
        </w:rPr>
        <w:t>9</w:t>
      </w:r>
      <w:r w:rsidRPr="00650363">
        <w:rPr>
          <w:rFonts w:ascii="Tahoma" w:hAnsi="Tahoma" w:cs="Tahoma"/>
          <w:b/>
          <w:sz w:val="20"/>
          <w:szCs w:val="20"/>
          <w:u w:val="single"/>
        </w:rPr>
        <w:t xml:space="preserve"> r. do godz. 10:00. Otwarcie ofert odbędzie się dnia </w:t>
      </w:r>
      <w:r>
        <w:rPr>
          <w:rFonts w:ascii="Tahoma" w:hAnsi="Tahoma" w:cs="Tahoma"/>
          <w:b/>
          <w:sz w:val="20"/>
          <w:szCs w:val="20"/>
          <w:u w:val="single"/>
        </w:rPr>
        <w:t>2</w:t>
      </w:r>
      <w:r w:rsidR="00D6153B">
        <w:rPr>
          <w:rFonts w:ascii="Tahoma" w:hAnsi="Tahoma" w:cs="Tahoma"/>
          <w:b/>
          <w:sz w:val="20"/>
          <w:szCs w:val="20"/>
          <w:u w:val="single"/>
        </w:rPr>
        <w:t>4</w:t>
      </w:r>
      <w:r w:rsidRPr="00650363">
        <w:rPr>
          <w:rFonts w:ascii="Tahoma" w:hAnsi="Tahoma" w:cs="Tahoma"/>
          <w:b/>
          <w:sz w:val="20"/>
          <w:szCs w:val="20"/>
          <w:u w:val="single"/>
        </w:rPr>
        <w:t>.0</w:t>
      </w:r>
      <w:r>
        <w:rPr>
          <w:rFonts w:ascii="Tahoma" w:hAnsi="Tahoma" w:cs="Tahoma"/>
          <w:b/>
          <w:sz w:val="20"/>
          <w:szCs w:val="20"/>
          <w:u w:val="single"/>
        </w:rPr>
        <w:t>5</w:t>
      </w:r>
      <w:r w:rsidRPr="00650363">
        <w:rPr>
          <w:rFonts w:ascii="Tahoma" w:hAnsi="Tahoma" w:cs="Tahoma"/>
          <w:b/>
          <w:sz w:val="20"/>
          <w:szCs w:val="20"/>
          <w:u w:val="single"/>
        </w:rPr>
        <w:t>.201</w:t>
      </w:r>
      <w:r>
        <w:rPr>
          <w:rFonts w:ascii="Tahoma" w:hAnsi="Tahoma" w:cs="Tahoma"/>
          <w:b/>
          <w:sz w:val="20"/>
          <w:szCs w:val="20"/>
          <w:u w:val="single"/>
        </w:rPr>
        <w:t>9</w:t>
      </w:r>
      <w:r w:rsidRPr="00650363">
        <w:rPr>
          <w:rFonts w:ascii="Tahoma" w:hAnsi="Tahoma" w:cs="Tahoma"/>
          <w:b/>
          <w:sz w:val="20"/>
          <w:szCs w:val="20"/>
          <w:u w:val="single"/>
        </w:rPr>
        <w:t xml:space="preserve"> r. do godz. 10:15</w:t>
      </w:r>
    </w:p>
    <w:p w:rsidR="00E61621" w:rsidRPr="00EE6EEF" w:rsidRDefault="00E61621" w:rsidP="00E61621">
      <w:pPr>
        <w:spacing w:after="160" w:line="259" w:lineRule="auto"/>
        <w:jc w:val="both"/>
        <w:rPr>
          <w:rFonts w:ascii="Tahoma" w:hAnsi="Tahoma" w:cs="Tahoma"/>
          <w:b/>
          <w:bCs/>
          <w:color w:val="000000" w:themeColor="text1"/>
          <w:sz w:val="20"/>
          <w:szCs w:val="20"/>
        </w:rPr>
      </w:pPr>
    </w:p>
    <w:p w:rsidR="00F627BD" w:rsidRDefault="00F627BD"/>
    <w:sectPr w:rsidR="00F627BD" w:rsidSect="00E61621">
      <w:head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941EAB" w:rsidTr="00E61621">
      <w:trPr>
        <w:trHeight w:val="2264"/>
        <w:jc w:val="center"/>
      </w:trPr>
      <w:tc>
        <w:tcPr>
          <w:tcW w:w="2779" w:type="dxa"/>
        </w:tcPr>
        <w:p w:rsidR="00941EAB" w:rsidRPr="00AE7B28" w:rsidRDefault="00941EAB" w:rsidP="00E61621">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941EAB" w:rsidRDefault="00941EAB" w:rsidP="00E61621">
          <w:pPr>
            <w:ind w:right="281"/>
            <w:jc w:val="right"/>
            <w:rPr>
              <w:b/>
            </w:rPr>
          </w:pPr>
        </w:p>
        <w:p w:rsidR="00941EAB" w:rsidRDefault="00941EAB" w:rsidP="00E61621">
          <w:pPr>
            <w:ind w:right="281"/>
            <w:jc w:val="center"/>
            <w:rPr>
              <w:b/>
            </w:rPr>
          </w:pPr>
          <w:r w:rsidRPr="00AE7B28">
            <w:rPr>
              <w:b/>
            </w:rPr>
            <w:t>Powiatowy Szpit</w:t>
          </w:r>
          <w:r>
            <w:rPr>
              <w:b/>
            </w:rPr>
            <w:t xml:space="preserve">al im. Władysława Biegańskiego </w:t>
          </w:r>
          <w:r w:rsidRPr="00AE7B28">
            <w:rPr>
              <w:b/>
            </w:rPr>
            <w:t>w Iławie</w:t>
          </w:r>
        </w:p>
        <w:p w:rsidR="00941EAB" w:rsidRDefault="00941EAB" w:rsidP="00E61621">
          <w:pPr>
            <w:tabs>
              <w:tab w:val="left" w:pos="1275"/>
            </w:tabs>
            <w:ind w:right="281"/>
            <w:jc w:val="center"/>
          </w:pPr>
          <w:r>
            <w:br/>
          </w:r>
          <w:r w:rsidRPr="00AE7B28">
            <w:t>ul. Gen. Wł. Andersa 3, 14-200 Iława</w:t>
          </w:r>
          <w:r w:rsidRPr="00AE7B28">
            <w:br/>
            <w:t>Kancelaria tel. 89 644 96 01, fax. 89 649 24 25</w:t>
          </w:r>
          <w:r w:rsidRPr="00AE7B28">
            <w:br/>
            <w:t>NIP 744-14-84-344</w:t>
          </w:r>
        </w:p>
      </w:tc>
      <w:tc>
        <w:tcPr>
          <w:tcW w:w="1276" w:type="dxa"/>
        </w:tcPr>
        <w:p w:rsidR="00941EAB" w:rsidRDefault="00941EAB" w:rsidP="00E61621">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941EAB" w:rsidRDefault="00941EA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B3F"/>
    <w:multiLevelType w:val="hybridMultilevel"/>
    <w:tmpl w:val="06F6593E"/>
    <w:lvl w:ilvl="0" w:tplc="74BAA722">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0A75B6"/>
    <w:multiLevelType w:val="hybridMultilevel"/>
    <w:tmpl w:val="10168F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8B23749"/>
    <w:multiLevelType w:val="hybridMultilevel"/>
    <w:tmpl w:val="53624FFA"/>
    <w:lvl w:ilvl="0" w:tplc="14E4F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74822D4"/>
    <w:multiLevelType w:val="multilevel"/>
    <w:tmpl w:val="9FD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5655D"/>
    <w:multiLevelType w:val="multilevel"/>
    <w:tmpl w:val="C10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61621"/>
    <w:rsid w:val="00220A4A"/>
    <w:rsid w:val="00673C8F"/>
    <w:rsid w:val="00941EAB"/>
    <w:rsid w:val="00B41C79"/>
    <w:rsid w:val="00C31F14"/>
    <w:rsid w:val="00D6153B"/>
    <w:rsid w:val="00E61621"/>
    <w:rsid w:val="00F627BD"/>
    <w:rsid w:val="00FB550B"/>
    <w:rsid w:val="00FC7B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621"/>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61621"/>
    <w:pPr>
      <w:spacing w:before="100" w:beforeAutospacing="1" w:after="119"/>
    </w:pPr>
    <w:rPr>
      <w:lang w:val="pl-PL" w:eastAsia="pl-PL"/>
    </w:rPr>
  </w:style>
  <w:style w:type="paragraph" w:styleId="Bezodstpw">
    <w:name w:val="No Spacing"/>
    <w:uiPriority w:val="1"/>
    <w:qFormat/>
    <w:rsid w:val="00E61621"/>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iPriority w:val="99"/>
    <w:semiHidden/>
    <w:unhideWhenUsed/>
    <w:rsid w:val="00E61621"/>
    <w:pPr>
      <w:tabs>
        <w:tab w:val="center" w:pos="4536"/>
        <w:tab w:val="right" w:pos="9072"/>
      </w:tabs>
    </w:pPr>
  </w:style>
  <w:style w:type="character" w:customStyle="1" w:styleId="NagwekZnak">
    <w:name w:val="Nagłówek Znak"/>
    <w:basedOn w:val="Domylnaczcionkaakapitu"/>
    <w:link w:val="Nagwek"/>
    <w:uiPriority w:val="99"/>
    <w:semiHidden/>
    <w:rsid w:val="00E61621"/>
    <w:rPr>
      <w:rFonts w:ascii="Times New Roman" w:eastAsia="Times New Roman" w:hAnsi="Times New Roman" w:cs="Times New Roman"/>
      <w:sz w:val="24"/>
      <w:szCs w:val="24"/>
      <w:lang w:val="de-CH" w:eastAsia="de-CH"/>
    </w:rPr>
  </w:style>
  <w:style w:type="paragraph" w:styleId="Tekstpodstawowywcity2">
    <w:name w:val="Body Text Indent 2"/>
    <w:basedOn w:val="Normalny"/>
    <w:link w:val="Tekstpodstawowywcity2Znak"/>
    <w:uiPriority w:val="99"/>
    <w:semiHidden/>
    <w:unhideWhenUsed/>
    <w:rsid w:val="00E616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61621"/>
    <w:rPr>
      <w:rFonts w:ascii="Times New Roman" w:eastAsia="Times New Roman" w:hAnsi="Times New Roman" w:cs="Times New Roman"/>
      <w:sz w:val="24"/>
      <w:szCs w:val="24"/>
      <w:lang w:val="de-CH" w:eastAsia="de-CH"/>
    </w:rPr>
  </w:style>
  <w:style w:type="paragraph" w:styleId="Akapitzlist">
    <w:name w:val="List Paragraph"/>
    <w:basedOn w:val="Normalny"/>
    <w:uiPriority w:val="34"/>
    <w:qFormat/>
    <w:rsid w:val="00E61621"/>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61621"/>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E61621"/>
    <w:rPr>
      <w:b/>
      <w:bCs/>
    </w:rPr>
  </w:style>
  <w:style w:type="paragraph" w:styleId="Tekstdymka">
    <w:name w:val="Balloon Text"/>
    <w:basedOn w:val="Normalny"/>
    <w:link w:val="TekstdymkaZnak"/>
    <w:uiPriority w:val="99"/>
    <w:semiHidden/>
    <w:unhideWhenUsed/>
    <w:rsid w:val="00E61621"/>
    <w:rPr>
      <w:rFonts w:ascii="Tahoma" w:hAnsi="Tahoma" w:cs="Tahoma"/>
      <w:sz w:val="16"/>
      <w:szCs w:val="16"/>
    </w:rPr>
  </w:style>
  <w:style w:type="character" w:customStyle="1" w:styleId="TekstdymkaZnak">
    <w:name w:val="Tekst dymka Znak"/>
    <w:basedOn w:val="Domylnaczcionkaakapitu"/>
    <w:link w:val="Tekstdymka"/>
    <w:uiPriority w:val="99"/>
    <w:semiHidden/>
    <w:rsid w:val="00E61621"/>
    <w:rPr>
      <w:rFonts w:ascii="Tahoma" w:eastAsia="Times New Roman" w:hAnsi="Tahoma" w:cs="Tahoma"/>
      <w:sz w:val="16"/>
      <w:szCs w:val="16"/>
      <w:lang w:val="de-CH"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3063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Brzóska</dc:creator>
  <cp:keywords/>
  <dc:description/>
  <cp:lastModifiedBy>Brzóska</cp:lastModifiedBy>
  <cp:revision>2</cp:revision>
  <dcterms:created xsi:type="dcterms:W3CDTF">2019-05-17T09:21:00Z</dcterms:created>
  <dcterms:modified xsi:type="dcterms:W3CDTF">2019-05-17T09:31:00Z</dcterms:modified>
</cp:coreProperties>
</file>