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BEF1" w14:textId="45701914" w:rsidR="00B64B1A" w:rsidRPr="0093058E" w:rsidRDefault="00DC65B2" w:rsidP="00C72651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  <w:r w:rsidRPr="0093058E">
        <w:rPr>
          <w:rFonts w:ascii="Verdana" w:hAnsi="Verdana"/>
          <w:b/>
          <w:bCs/>
          <w:sz w:val="20"/>
          <w:szCs w:val="20"/>
        </w:rPr>
        <w:t>Załącznik nr 1 do SWZ</w:t>
      </w:r>
    </w:p>
    <w:p w14:paraId="0D71EA40" w14:textId="08E2F7CF" w:rsidR="00C72651" w:rsidRPr="0093058E" w:rsidRDefault="00C72651" w:rsidP="00C72651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  <w:r w:rsidRPr="0093058E">
        <w:rPr>
          <w:rFonts w:ascii="Verdana" w:hAnsi="Verdana"/>
          <w:b/>
          <w:bCs/>
          <w:sz w:val="20"/>
          <w:szCs w:val="20"/>
        </w:rPr>
        <w:t>Załącznik nr 1 do Umowy</w:t>
      </w:r>
    </w:p>
    <w:p w14:paraId="4CEAA258" w14:textId="77777777" w:rsidR="008515DC" w:rsidRDefault="008515DC" w:rsidP="00DC65B2">
      <w:pPr>
        <w:spacing w:after="120"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362E4E40" w14:textId="4153F4FF" w:rsidR="00DC65B2" w:rsidRPr="0093058E" w:rsidRDefault="00DC65B2" w:rsidP="00DC65B2">
      <w:pPr>
        <w:spacing w:after="12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3058E">
        <w:rPr>
          <w:rFonts w:ascii="Verdana" w:hAnsi="Verdana"/>
          <w:b/>
          <w:bCs/>
          <w:sz w:val="20"/>
          <w:szCs w:val="20"/>
        </w:rPr>
        <w:t>OPIS PRZEDMIOTU ZAMÓWIENIA</w:t>
      </w:r>
    </w:p>
    <w:tbl>
      <w:tblPr>
        <w:tblStyle w:val="Tabela-Siatka"/>
        <w:tblW w:w="9351" w:type="dxa"/>
        <w:tblLook w:val="06A0" w:firstRow="1" w:lastRow="0" w:firstColumn="1" w:lastColumn="0" w:noHBand="1" w:noVBand="1"/>
      </w:tblPr>
      <w:tblGrid>
        <w:gridCol w:w="720"/>
        <w:gridCol w:w="7695"/>
        <w:gridCol w:w="936"/>
      </w:tblGrid>
      <w:tr w:rsidR="39CD60FF" w:rsidRPr="0093058E" w14:paraId="64828089" w14:textId="77777777" w:rsidTr="582F5A60">
        <w:trPr>
          <w:trHeight w:val="416"/>
        </w:trPr>
        <w:tc>
          <w:tcPr>
            <w:tcW w:w="720" w:type="dxa"/>
            <w:shd w:val="clear" w:color="auto" w:fill="D9D9D9" w:themeFill="background1" w:themeFillShade="D9"/>
          </w:tcPr>
          <w:p w14:paraId="1DDDEA13" w14:textId="31181E49" w:rsidR="39CD60FF" w:rsidRPr="0093058E" w:rsidRDefault="39CD60FF" w:rsidP="7D83E8BA">
            <w:pPr>
              <w:spacing w:after="120" w:line="276" w:lineRule="auto"/>
              <w:jc w:val="center"/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95" w:type="dxa"/>
            <w:shd w:val="clear" w:color="auto" w:fill="D9D9D9" w:themeFill="background1" w:themeFillShade="D9"/>
          </w:tcPr>
          <w:p w14:paraId="7968C1A3" w14:textId="6C39759B" w:rsidR="39CD60FF" w:rsidRPr="0093058E" w:rsidRDefault="39CD60FF" w:rsidP="7D83E8BA">
            <w:pPr>
              <w:spacing w:after="120" w:line="276" w:lineRule="auto"/>
              <w:jc w:val="center"/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7627DDD5" w14:textId="030B88DA" w:rsidR="39CD60FF" w:rsidRPr="0093058E" w:rsidRDefault="39CD60FF" w:rsidP="7D83E8BA">
            <w:pPr>
              <w:spacing w:after="120" w:line="276" w:lineRule="auto"/>
              <w:jc w:val="center"/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Ilość</w:t>
            </w:r>
          </w:p>
        </w:tc>
      </w:tr>
      <w:tr w:rsidR="003F3B8C" w:rsidRPr="0093058E" w14:paraId="38E29842" w14:textId="77777777" w:rsidTr="582F5A60">
        <w:tc>
          <w:tcPr>
            <w:tcW w:w="720" w:type="dxa"/>
          </w:tcPr>
          <w:p w14:paraId="1770DACD" w14:textId="5236008B" w:rsidR="003F3B8C" w:rsidRPr="0093058E" w:rsidRDefault="003F3B8C" w:rsidP="7D83E8BA">
            <w:pPr>
              <w:spacing w:after="120"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1</w:t>
            </w:r>
          </w:p>
        </w:tc>
        <w:tc>
          <w:tcPr>
            <w:tcW w:w="7695" w:type="dxa"/>
          </w:tcPr>
          <w:p w14:paraId="4C51B21D" w14:textId="554B6AE1" w:rsidR="00A45CBC" w:rsidRPr="0093058E" w:rsidRDefault="00A45CBC" w:rsidP="00A45CBC">
            <w:pPr>
              <w:pStyle w:val="paragraph"/>
              <w:spacing w:before="0" w:beforeAutospacing="0" w:after="120" w:afterAutospacing="0" w:line="276" w:lineRule="auto"/>
              <w:jc w:val="both"/>
              <w:textAlignment w:val="baseline"/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 xml:space="preserve">Przedmiotem zamówienia jest </w:t>
            </w:r>
            <w:r w:rsidR="00C868A6" w:rsidRPr="0093058E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przedłużenie s</w:t>
            </w:r>
            <w:r w:rsidRPr="0093058E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ubskrypcj</w:t>
            </w:r>
            <w:r w:rsidR="00C868A6" w:rsidRPr="0093058E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i</w:t>
            </w:r>
            <w:r w:rsidRPr="0093058E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 xml:space="preserve"> oprogramowania umożliwiającego dwuwymiarowe i trójwymiarowe projektowanie np. </w:t>
            </w:r>
            <w:r w:rsidRPr="0093058E">
              <w:rPr>
                <w:rStyle w:val="spellingerror"/>
                <w:rFonts w:ascii="Verdana" w:hAnsi="Verdana"/>
                <w:b/>
                <w:bCs/>
                <w:sz w:val="20"/>
                <w:szCs w:val="20"/>
              </w:rPr>
              <w:t>Autodesk</w:t>
            </w:r>
            <w:r w:rsidRPr="0093058E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 xml:space="preserve"> AutoCAD 3D lub równoważnego </w:t>
            </w:r>
            <w:r w:rsidR="00B91B58" w:rsidRPr="0093058E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 xml:space="preserve">od dnia 13.12.2023 r. </w:t>
            </w:r>
            <w:r w:rsidR="00F00191" w:rsidRPr="0093058E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na okres 36 miesięcy</w:t>
            </w:r>
            <w:r w:rsidR="006B32CB" w:rsidRPr="0093058E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.</w:t>
            </w:r>
            <w:r w:rsidR="0014546F" w:rsidRPr="0093058E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45D74742" w14:textId="2B05F282" w:rsidR="00C868A6" w:rsidRPr="0093058E" w:rsidRDefault="00C868A6" w:rsidP="00A45CBC">
            <w:pPr>
              <w:pStyle w:val="paragraph"/>
              <w:spacing w:before="0" w:beforeAutospacing="0" w:after="120" w:afterAutospacing="0" w:line="276" w:lineRule="auto"/>
              <w:jc w:val="both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3058E">
              <w:rPr>
                <w:rFonts w:ascii="Verdana" w:hAnsi="Verdana"/>
                <w:b/>
                <w:bCs/>
                <w:sz w:val="20"/>
                <w:szCs w:val="20"/>
              </w:rPr>
              <w:t>Identyfikator subskrypcji: 565-20113023</w:t>
            </w:r>
          </w:p>
          <w:p w14:paraId="4DB2FCC2" w14:textId="5561131E" w:rsidR="00B6158E" w:rsidRPr="0093058E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  <w:t>Wersja licencji: na użytkownika</w:t>
            </w:r>
            <w:r w:rsidRPr="0093058E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  <w:p w14:paraId="669782D7" w14:textId="77777777" w:rsidR="00B6158E" w:rsidRPr="0093058E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  <w:t>Zastosowanie: komercyjne</w:t>
            </w:r>
            <w:r w:rsidRPr="0093058E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  <w:p w14:paraId="5D836AE3" w14:textId="77777777" w:rsidR="00B6158E" w:rsidRPr="0093058E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  <w:t>Wersja językowa: wielojęzykowa/PL</w:t>
            </w:r>
            <w:r w:rsidRPr="0093058E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  <w:p w14:paraId="15A87F2D" w14:textId="77777777" w:rsidR="00B6158E" w:rsidRPr="0093058E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  <w:t>Platforma: PC</w:t>
            </w:r>
            <w:r w:rsidRPr="0093058E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  <w:p w14:paraId="7C23ACB9" w14:textId="545FA10A" w:rsidR="00B6158E" w:rsidRPr="0093058E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eop"/>
                <w:rFonts w:ascii="Verdana" w:hAnsi="Verdana" w:cstheme="minorBidi"/>
                <w:color w:val="000000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  <w:t xml:space="preserve">Okres subskrypcji: </w:t>
            </w:r>
            <w:r w:rsidR="00EC0700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36 miesięcy</w:t>
            </w:r>
          </w:p>
          <w:p w14:paraId="24CF20BE" w14:textId="77777777" w:rsidR="00B6158E" w:rsidRPr="0093058E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  <w:t>Wersja: elektroniczna</w:t>
            </w:r>
            <w:r w:rsidRPr="0093058E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  <w:p w14:paraId="3927CC5A" w14:textId="77777777" w:rsidR="00B6158E" w:rsidRPr="0093058E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46D75C6E" w14:textId="77777777" w:rsidR="00B6158E" w:rsidRPr="0093058E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  <w:u w:val="single"/>
              </w:rPr>
              <w:t>Opis wymaganych minimalnych funkcjonalności w przypadku zaoferowania oprogramowania równoważnego</w:t>
            </w: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4F01C998" w14:textId="77777777" w:rsidR="00B6158E" w:rsidRPr="0093058E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Za oprogramowanie równoważne uznaje się oprogramowanie posiadające następujące cechy: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129F99B3" w14:textId="75863E11" w:rsidR="00B6158E" w:rsidRPr="0093058E" w:rsidRDefault="00B6158E" w:rsidP="021BCAB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21BCAB7">
              <w:rPr>
                <w:rStyle w:val="normaltextrun"/>
                <w:rFonts w:ascii="Verdana" w:hAnsi="Verdana" w:cstheme="minorBidi"/>
                <w:sz w:val="20"/>
                <w:szCs w:val="20"/>
              </w:rPr>
              <w:t>umożliwiające projektowanie i profesjonalne kreślenie, zawierające narzędzia do rysowania i detalowania 2D oraz 3D, posiadające właściwości kompatybilne z </w:t>
            </w:r>
            <w:r w:rsidR="00C978EC" w:rsidRPr="021BCAB7">
              <w:rPr>
                <w:rStyle w:val="eop"/>
                <w:rFonts w:ascii="Verdana" w:hAnsi="Verdana" w:cstheme="minorBidi"/>
                <w:sz w:val="20"/>
                <w:szCs w:val="20"/>
              </w:rPr>
              <w:t>plikami powstałymi w wyniku prac w programie AutoCAD 3D w szczególności z rozszerzeniami DWF, DWG oraz DXF</w:t>
            </w:r>
            <w:r w:rsidR="00F81827" w:rsidRPr="021BCAB7">
              <w:rPr>
                <w:rStyle w:val="eop"/>
                <w:rFonts w:ascii="Verdana" w:hAnsi="Verdana" w:cstheme="minorBidi"/>
                <w:sz w:val="20"/>
                <w:szCs w:val="20"/>
              </w:rPr>
              <w:t>,</w:t>
            </w:r>
            <w:r w:rsidRPr="021BCAB7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0FD81477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umożliwiające wymiarowanie, w tym inteligentne wymiarowanie i opisywanie; 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6F95C1B0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umożliwiające tworzenie i edytowanie dokładnych rysunków 2D w oryginalnym formacie plików DWG; 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5F34806F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posiadające wbudowane, zaawansowane narzędzia do tworzenia dokumentacji – muszą one przekazywać rzeczywiste wymiary i szczegóły techniczne, które odzwierciedlają specyfikę danego projektu; 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7C301A22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posiadające wbudowane standardowe kształty takie jak linie, wielokąty, luki, okręgi i elipsy, aby tworzyć proste lub złożone rysunki 2D; 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5C677533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umożliwiające modyfikowanie obiektów; 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08080045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umożliwiające zmianę istniejących geometrii;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35FF0945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posiadające wbudowane polecenia tworzenia nowych obiektów, kopiowania, odsunięcia i lustra; 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14136A5F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 xml:space="preserve">umożliwiające opisywanie rysunków oraz ich uzupełnianie np. opisami tekstowymi, </w:t>
            </w:r>
            <w:r w:rsidRPr="0093058E">
              <w:rPr>
                <w:rStyle w:val="spellingerror"/>
                <w:rFonts w:ascii="Verdana" w:hAnsi="Verdana" w:cstheme="minorBidi"/>
                <w:sz w:val="20"/>
                <w:szCs w:val="20"/>
              </w:rPr>
              <w:t>wymiarowaniami</w:t>
            </w: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 xml:space="preserve">, </w:t>
            </w:r>
            <w:r w:rsidRPr="0093058E">
              <w:rPr>
                <w:rStyle w:val="spellingerror"/>
                <w:rFonts w:ascii="Verdana" w:hAnsi="Verdana" w:cstheme="minorBidi"/>
                <w:sz w:val="20"/>
                <w:szCs w:val="20"/>
              </w:rPr>
              <w:t>kreskowaniami</w:t>
            </w: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; 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47E46ADE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 xml:space="preserve">umożliwiające pełną współpracę z rodziną programów </w:t>
            </w:r>
            <w:r w:rsidRPr="0093058E">
              <w:rPr>
                <w:rStyle w:val="spellingerror"/>
                <w:rFonts w:ascii="Verdana" w:hAnsi="Verdana" w:cstheme="minorBidi"/>
                <w:sz w:val="20"/>
                <w:szCs w:val="20"/>
              </w:rPr>
              <w:t>Autodesk</w:t>
            </w: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; 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20E4B4DF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umożliwiające pracę z plikami w formacie DWG; 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00FB89E9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 xml:space="preserve">umożliwiające obsługę dynamicznych bloków, ukrywanie i izolowanie wybranych obiektów, obsługę przeźroczystości warstw, </w:t>
            </w: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lastRenderedPageBreak/>
              <w:t>możliwość łączenia rysunków z plikami zewnętrznymi (np. jpg, pdf) czy automatyczne autouzupełnianie poleceń; 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4CE65A47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umożliwiające publikowanie i drukowanie;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3C223D32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 xml:space="preserve">umożliwiające tworzenie wieloarkuszowych plików DWF, </w:t>
            </w:r>
            <w:r w:rsidRPr="0093058E">
              <w:rPr>
                <w:rStyle w:val="spellingerror"/>
                <w:rFonts w:ascii="Verdana" w:hAnsi="Verdana" w:cstheme="minorBidi"/>
                <w:sz w:val="20"/>
                <w:szCs w:val="20"/>
              </w:rPr>
              <w:t>DWFx</w:t>
            </w: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 xml:space="preserve"> i PDF.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08927F95" w14:textId="77A9CA81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 xml:space="preserve">umożliwiające korzystanie z biblioteki dokumentów stworzonych </w:t>
            </w:r>
            <w:r w:rsidR="00F81827"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w wyniku prac w programie AutoCAD 3D.</w:t>
            </w:r>
          </w:p>
          <w:p w14:paraId="7735377D" w14:textId="77777777" w:rsidR="00B6158E" w:rsidRPr="0093058E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4F9EB7BC" w14:textId="77777777" w:rsidR="00B6158E" w:rsidRPr="0093058E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  <w:t>W przypadku zaproponowania rozwiązania równoważnego, zgodnego z wymienionymi kryteriami równoważności, Wykonawca zobowiązuje się:</w:t>
            </w:r>
            <w:r w:rsidRPr="0093058E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  <w:p w14:paraId="1E17CDE3" w14:textId="77777777" w:rsidR="0034431E" w:rsidRPr="0093058E" w:rsidRDefault="000B5F98" w:rsidP="00184584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758"/>
              <w:jc w:val="both"/>
              <w:textAlignment w:val="baseline"/>
              <w:rPr>
                <w:rStyle w:val="normaltextrun"/>
                <w:rFonts w:ascii="Verdana" w:hAnsi="Verdana" w:cstheme="minorHAns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zapewnić warunki i zakres usługi wsparcia producenta dla produktów równoważnych nie gorsze niż usługa określona dla licencji i subskrypcji oferowanych dla </w:t>
            </w:r>
            <w:r w:rsidRPr="0093058E">
              <w:rPr>
                <w:rStyle w:val="spellingerror"/>
                <w:rFonts w:ascii="Verdana" w:hAnsi="Verdana" w:cstheme="minorHAnsi"/>
                <w:color w:val="000000" w:themeColor="text1"/>
                <w:sz w:val="20"/>
                <w:szCs w:val="20"/>
              </w:rPr>
              <w:t>Autodesk</w:t>
            </w:r>
            <w:r w:rsidRPr="0093058E">
              <w:rPr>
                <w:rStyle w:val="normaltextrun"/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   AutoCAD 3D, opisana na stronie </w:t>
            </w:r>
            <w:hyperlink r:id="rId10" w:history="1">
              <w:r w:rsidRPr="0093058E">
                <w:rPr>
                  <w:rStyle w:val="Hipercze"/>
                  <w:rFonts w:ascii="Verdana" w:hAnsi="Verdana" w:cstheme="minorHAnsi"/>
                  <w:sz w:val="20"/>
                  <w:szCs w:val="20"/>
                </w:rPr>
                <w:t>https://www.autodesk.com/company/terms-of-use/pl/general-terms</w:t>
              </w:r>
            </w:hyperlink>
            <w:r w:rsidRPr="0093058E">
              <w:rPr>
                <w:rStyle w:val="normaltextrun"/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 </w:t>
            </w:r>
          </w:p>
          <w:p w14:paraId="216EF389" w14:textId="762254B0" w:rsidR="000B5F98" w:rsidRPr="0093058E" w:rsidRDefault="000B5F98" w:rsidP="00184584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758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zapewnić warunki licencji w każdym aspekcie licencjonowania nie gorsze niż dla licencji/subskrypcji będących w ofercie dla </w:t>
            </w:r>
            <w:r w:rsidRPr="0093058E">
              <w:rPr>
                <w:rStyle w:val="spellingerror"/>
                <w:rFonts w:ascii="Verdana" w:hAnsi="Verdana" w:cstheme="minorHAnsi"/>
                <w:color w:val="000000" w:themeColor="text1"/>
                <w:sz w:val="20"/>
                <w:szCs w:val="20"/>
              </w:rPr>
              <w:t>Autodesk</w:t>
            </w:r>
            <w:r w:rsidRPr="0093058E">
              <w:rPr>
                <w:rStyle w:val="normaltextrun"/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AutoCAD 3D, opisane na stronie </w:t>
            </w:r>
            <w:hyperlink r:id="rId11" w:history="1">
              <w:r w:rsidRPr="0093058E">
                <w:rPr>
                  <w:rStyle w:val="Hipercze"/>
                  <w:rFonts w:ascii="Verdana" w:hAnsi="Verdana" w:cstheme="minorHAnsi"/>
                  <w:sz w:val="20"/>
                  <w:szCs w:val="20"/>
                </w:rPr>
                <w:t>https://www.autodesk.com/company/terms-of-use/pl/special-terms</w:t>
              </w:r>
            </w:hyperlink>
            <w:r w:rsidRPr="0093058E">
              <w:rPr>
                <w:rFonts w:ascii="Verdana" w:hAnsi="Verdana" w:cstheme="minorHAnsi"/>
                <w:sz w:val="20"/>
                <w:szCs w:val="20"/>
              </w:rPr>
              <w:t xml:space="preserve"> oraz </w:t>
            </w:r>
            <w:hyperlink r:id="rId12" w:history="1">
              <w:r w:rsidRPr="0093058E">
                <w:rPr>
                  <w:rStyle w:val="Hipercze"/>
                  <w:rFonts w:ascii="Verdana" w:hAnsi="Verdana" w:cstheme="minorHAnsi"/>
                  <w:sz w:val="20"/>
                  <w:szCs w:val="20"/>
                </w:rPr>
                <w:t>https://www.autodesk.com/company/terms-of-use/pl/offering-types-and-benefits</w:t>
              </w:r>
            </w:hyperlink>
          </w:p>
          <w:p w14:paraId="38818FCF" w14:textId="081AA9DD" w:rsidR="000B5F98" w:rsidRPr="0093058E" w:rsidRDefault="000B5F98" w:rsidP="000B5F98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758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zapewnić, że produkty równoważne są kompatybilne i w sposób niezakłócony współdziałać będą ze sprzętem i oprogramowaniem systemowym </w:t>
            </w:r>
            <w:r w:rsidRPr="0093058E">
              <w:rPr>
                <w:rFonts w:ascii="Verdana" w:eastAsiaTheme="minorEastAsia" w:hAnsi="Verdana" w:cstheme="minorHAnsi"/>
                <w:color w:val="000000" w:themeColor="text1"/>
                <w:sz w:val="20"/>
                <w:szCs w:val="20"/>
              </w:rPr>
              <w:t>(Windows 10/11 Professional)</w:t>
            </w:r>
            <w:r w:rsidRPr="0093058E">
              <w:rPr>
                <w:rStyle w:val="normaltextrun"/>
                <w:rFonts w:ascii="Verdana" w:hAnsi="Verdana" w:cstheme="minorHAnsi"/>
                <w:color w:val="000000" w:themeColor="text1"/>
                <w:sz w:val="20"/>
                <w:szCs w:val="20"/>
              </w:rPr>
              <w:t>, aplikacyjnym i użytkowym, eksploatowanym u Zamawiającego,</w:t>
            </w:r>
            <w:r w:rsidRPr="0093058E">
              <w:rPr>
                <w:rStyle w:val="eop"/>
                <w:rFonts w:ascii="Verdana" w:hAnsi="Verdana" w:cstheme="minorHAnsi"/>
                <w:color w:val="000000" w:themeColor="text1"/>
                <w:sz w:val="20"/>
                <w:szCs w:val="20"/>
              </w:rPr>
              <w:t> tj. m. in. HCL Notes 12, pakiet Microsoft 365, Eset Endpoint Antyvirus 10.0</w:t>
            </w:r>
            <w:r w:rsidR="008F1B1E" w:rsidRPr="0093058E">
              <w:rPr>
                <w:rStyle w:val="eop"/>
                <w:rFonts w:ascii="Verdana" w:hAnsi="Verdana" w:cstheme="minorHAnsi"/>
                <w:color w:val="000000" w:themeColor="text1"/>
                <w:sz w:val="20"/>
                <w:szCs w:val="20"/>
              </w:rPr>
              <w:t>,</w:t>
            </w:r>
          </w:p>
          <w:p w14:paraId="0CBACEF3" w14:textId="77777777" w:rsidR="000B5F98" w:rsidRPr="0093058E" w:rsidRDefault="000B5F98" w:rsidP="000B5F98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758"/>
              <w:jc w:val="both"/>
              <w:textAlignment w:val="baseline"/>
              <w:rPr>
                <w:rStyle w:val="normaltextrun"/>
                <w:rFonts w:ascii="Verdana" w:hAnsi="Verdana" w:cstheme="minorHAns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HAnsi"/>
                <w:color w:val="000000" w:themeColor="text1"/>
                <w:sz w:val="20"/>
                <w:szCs w:val="20"/>
              </w:rPr>
              <w:t>przeszkolić pracowników Zamawiającego w zakresie funkcjonalności i działania produktów równoważnych w terminie ustalonym z Zamawiającym - min. 10 dni roboczych szkolenia dla 2 pracowników,</w:t>
            </w:r>
          </w:p>
          <w:p w14:paraId="3D723E00" w14:textId="77777777" w:rsidR="003F3B8C" w:rsidRPr="0093058E" w:rsidRDefault="000B5F98" w:rsidP="000B5F98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758"/>
              <w:jc w:val="both"/>
              <w:textAlignment w:val="baseline"/>
              <w:rPr>
                <w:rStyle w:val="normaltextrun"/>
                <w:rFonts w:ascii="Verdana" w:hAnsi="Verdana" w:cstheme="minorHAns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HAnsi"/>
                <w:color w:val="000000" w:themeColor="text1"/>
                <w:sz w:val="20"/>
                <w:szCs w:val="20"/>
              </w:rPr>
              <w:t>przywrócić sprawne działanie infrastruktury sprzętowo-programowej Zamawiającego oraz na własny koszt dokonać niezbędnych modyfikacji przywracających właściwe działanie środowiska sprzętowo-programowego Zamawiającego również po odinstalowaniu produktów równoważnych w przypadku, gdy zaoferowane produkty równoważne nie będą właściwie współdziałać ze sprzętem i oprogramowaniem funkcjonującym u Zamawiającego i/lub spowodują zakłócenia w funkcjonowaniu pracy środowiska sprzętowo-programowego Zamawiającego.</w:t>
            </w:r>
          </w:p>
          <w:p w14:paraId="5F869ACD" w14:textId="75A1F83F" w:rsidR="000B5F98" w:rsidRPr="0093058E" w:rsidRDefault="000B5F98" w:rsidP="000B5F98">
            <w:pPr>
              <w:pStyle w:val="paragraph"/>
              <w:spacing w:before="0" w:beforeAutospacing="0" w:after="0" w:afterAutospacing="0" w:line="276" w:lineRule="auto"/>
              <w:ind w:left="758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36" w:type="dxa"/>
          </w:tcPr>
          <w:p w14:paraId="49ED8A61" w14:textId="23E307A7" w:rsidR="003F3B8C" w:rsidRPr="0093058E" w:rsidRDefault="00123E27" w:rsidP="7D83E8BA">
            <w:pPr>
              <w:spacing w:after="120" w:line="276" w:lineRule="auto"/>
              <w:jc w:val="center"/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lastRenderedPageBreak/>
              <w:t>1</w:t>
            </w:r>
          </w:p>
        </w:tc>
      </w:tr>
      <w:tr w:rsidR="590EF0B8" w:rsidRPr="0093058E" w14:paraId="58806680" w14:textId="77777777" w:rsidTr="582F5A60">
        <w:tc>
          <w:tcPr>
            <w:tcW w:w="720" w:type="dxa"/>
          </w:tcPr>
          <w:p w14:paraId="2E13E71D" w14:textId="61E61163" w:rsidR="01063379" w:rsidRPr="0093058E" w:rsidRDefault="003F3B8C" w:rsidP="7D83E8BA">
            <w:pPr>
              <w:spacing w:after="120"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2</w:t>
            </w:r>
          </w:p>
        </w:tc>
        <w:tc>
          <w:tcPr>
            <w:tcW w:w="7695" w:type="dxa"/>
          </w:tcPr>
          <w:p w14:paraId="3520B4AA" w14:textId="684B8188" w:rsidR="0014546F" w:rsidRPr="0093058E" w:rsidRDefault="00776081" w:rsidP="021BCAB7">
            <w:pPr>
              <w:pStyle w:val="paragraph"/>
              <w:spacing w:before="0" w:beforeAutospacing="0" w:after="120" w:afterAutospacing="0" w:line="276" w:lineRule="auto"/>
              <w:jc w:val="both"/>
              <w:textAlignment w:val="baseline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Przedmiotem zamówienia jest </w:t>
            </w:r>
            <w:r w:rsidR="00C868A6"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przedłużenie </w:t>
            </w:r>
            <w:r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>subskrypcj</w:t>
            </w:r>
            <w:r w:rsidR="00C868A6"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>i</w:t>
            </w:r>
            <w:r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oprogramowania 2D do kreślenia, rysowania</w:t>
            </w:r>
            <w:r w:rsidR="3838983B"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i </w:t>
            </w:r>
            <w:r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tworzenia dokumentacji, np. Autodesk AutoCAD LT lub równoważnego </w:t>
            </w:r>
            <w:r w:rsidR="00152104"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od dnia 13.12.2023 r.  </w:t>
            </w:r>
            <w:r w:rsidR="00F00191"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>na okres 36 miesięcy</w:t>
            </w:r>
            <w:r w:rsidR="006B32CB"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>.</w:t>
            </w:r>
          </w:p>
          <w:p w14:paraId="2963855E" w14:textId="1B5F6B94" w:rsidR="00C868A6" w:rsidRPr="0093058E" w:rsidRDefault="00C868A6" w:rsidP="0014546F">
            <w:pPr>
              <w:pStyle w:val="paragraph"/>
              <w:spacing w:before="0" w:beforeAutospacing="0" w:after="120" w:afterAutospacing="0" w:line="276" w:lineRule="auto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93058E">
              <w:rPr>
                <w:rFonts w:ascii="Verdana" w:hAnsi="Verdana"/>
                <w:b/>
                <w:bCs/>
                <w:sz w:val="20"/>
                <w:szCs w:val="20"/>
              </w:rPr>
              <w:t xml:space="preserve">Identyfikator subskrypcji: </w:t>
            </w:r>
            <w:r w:rsidRPr="0093058E">
              <w:rPr>
                <w:rFonts w:ascii="Verdana" w:hAnsi="Verdana" w:cstheme="minorHAnsi"/>
                <w:b/>
                <w:bCs/>
                <w:sz w:val="20"/>
                <w:szCs w:val="20"/>
              </w:rPr>
              <w:t>568-56612753</w:t>
            </w:r>
          </w:p>
          <w:p w14:paraId="113E048D" w14:textId="77777777" w:rsidR="003466B2" w:rsidRPr="0093058E" w:rsidRDefault="73346E38" w:rsidP="7D83E8BA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Wersja licencji: na użytkownika</w:t>
            </w:r>
          </w:p>
          <w:p w14:paraId="0B7967F6" w14:textId="44050FDA" w:rsidR="73346E38" w:rsidRPr="0093058E" w:rsidRDefault="73346E38" w:rsidP="7D83E8BA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Zastosowanie: komercyjne</w:t>
            </w:r>
          </w:p>
          <w:p w14:paraId="2C8D563B" w14:textId="6A992E87" w:rsidR="73346E38" w:rsidRPr="0093058E" w:rsidRDefault="73346E38" w:rsidP="7D83E8BA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Wersja językowa: wielojęzykowa/PL</w:t>
            </w:r>
          </w:p>
          <w:p w14:paraId="63A1AC9B" w14:textId="753C210A" w:rsidR="73346E38" w:rsidRPr="0093058E" w:rsidRDefault="73346E38" w:rsidP="7D83E8BA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Platforma: PC</w:t>
            </w:r>
          </w:p>
          <w:p w14:paraId="033B7E84" w14:textId="35F92B2A" w:rsidR="73346E38" w:rsidRPr="0093058E" w:rsidRDefault="73346E38" w:rsidP="7D83E8BA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lastRenderedPageBreak/>
              <w:t xml:space="preserve">Okres subskrypcji: </w:t>
            </w:r>
            <w:r w:rsidR="005B1201"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 xml:space="preserve">36 </w:t>
            </w: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miesięcy</w:t>
            </w:r>
          </w:p>
          <w:p w14:paraId="75CEB5C5" w14:textId="5EBEAC65" w:rsidR="73346E38" w:rsidRPr="0093058E" w:rsidRDefault="73346E38" w:rsidP="7D83E8BA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Wersja: elektroniczna</w:t>
            </w:r>
          </w:p>
          <w:p w14:paraId="361160B2" w14:textId="3408FF65" w:rsidR="61EB5819" w:rsidRPr="0093058E" w:rsidRDefault="61EB5819" w:rsidP="7D83E8BA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</w:p>
          <w:p w14:paraId="0784467A" w14:textId="3286150C" w:rsidR="590EF0B8" w:rsidRPr="0093058E" w:rsidRDefault="590EF0B8" w:rsidP="7D83E8BA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 xml:space="preserve">Oprogramowanie wykorzystywane </w:t>
            </w:r>
            <w:r w:rsidR="005B1201" w:rsidRPr="0093058E">
              <w:rPr>
                <w:rFonts w:ascii="Verdana" w:eastAsiaTheme="minorEastAsia" w:hAnsi="Verdana"/>
                <w:sz w:val="20"/>
                <w:szCs w:val="20"/>
              </w:rPr>
              <w:t>będzie</w:t>
            </w:r>
            <w:r w:rsidRPr="0093058E">
              <w:rPr>
                <w:rFonts w:ascii="Verdana" w:eastAsiaTheme="minorEastAsia" w:hAnsi="Verdana"/>
                <w:sz w:val="20"/>
                <w:szCs w:val="20"/>
              </w:rPr>
              <w:t xml:space="preserve"> do prac z projektami oraz bazami danych dotyczących gruntów oraz budynków. W związku z powyższym oprogramowanie musi być w pełni kompatybilne z dotychczasowymi plikami wynikowymi (DWG), które opracowywane były w programie </w:t>
            </w:r>
            <w:r w:rsidR="45832285" w:rsidRPr="0093058E">
              <w:rPr>
                <w:rFonts w:ascii="Verdana" w:eastAsiaTheme="minorEastAsia" w:hAnsi="Verdana"/>
                <w:sz w:val="20"/>
                <w:szCs w:val="20"/>
              </w:rPr>
              <w:t xml:space="preserve">Autodek </w:t>
            </w:r>
            <w:r w:rsidRPr="0093058E">
              <w:rPr>
                <w:rFonts w:ascii="Verdana" w:eastAsiaTheme="minorEastAsia" w:hAnsi="Verdana"/>
                <w:sz w:val="20"/>
                <w:szCs w:val="20"/>
              </w:rPr>
              <w:t>AutoCAD LT.</w:t>
            </w:r>
          </w:p>
          <w:p w14:paraId="1BA5DE8D" w14:textId="63C66EC2" w:rsidR="590EF0B8" w:rsidRPr="0093058E" w:rsidRDefault="590EF0B8" w:rsidP="7D83E8BA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</w:p>
          <w:p w14:paraId="0F1C1CB1" w14:textId="7B8D4CCD" w:rsidR="590EF0B8" w:rsidRPr="0093058E" w:rsidRDefault="4BF92C1D" w:rsidP="7D83E8BA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  <w:u w:val="single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  <w:u w:val="single"/>
              </w:rPr>
              <w:t>Opis wymaganych minimalnych funkcjonalności w przypadku zaoferowania oprogramowania równoważnego</w:t>
            </w:r>
          </w:p>
          <w:p w14:paraId="5F36E848" w14:textId="3D1E87B0" w:rsidR="590EF0B8" w:rsidRPr="0093058E" w:rsidRDefault="4BF92C1D" w:rsidP="7D83E8BA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Za oprogramowanie równoważne uznaje się oprogramowanie posiadające następujące cechy:</w:t>
            </w:r>
          </w:p>
          <w:p w14:paraId="00A8EF70" w14:textId="278158E2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 xml:space="preserve">kompatybilność: oprogramowanie typu CAD w 100% poprawnie obsługujące w trybie edytowalnym posiadane przez Zamawiającego pliki DWG projektów zapisanych w </w:t>
            </w:r>
            <w:r w:rsidR="37014041" w:rsidRPr="0093058E">
              <w:rPr>
                <w:rFonts w:ascii="Verdana" w:eastAsiaTheme="minorEastAsia" w:hAnsi="Verdana"/>
                <w:sz w:val="20"/>
                <w:szCs w:val="20"/>
              </w:rPr>
              <w:t xml:space="preserve">Autodesk </w:t>
            </w:r>
            <w:r w:rsidRPr="0093058E">
              <w:rPr>
                <w:rFonts w:ascii="Verdana" w:eastAsiaTheme="minorEastAsia" w:hAnsi="Verdana"/>
                <w:sz w:val="20"/>
                <w:szCs w:val="20"/>
              </w:rPr>
              <w:t>AutoCAD</w:t>
            </w:r>
            <w:r w:rsidR="73750FD6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13BD1690" w14:textId="07D739FC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narzędzie CAD do projektowania 2D, dedykowane zarówno dla prostych jak i</w:t>
            </w:r>
            <w:r w:rsidR="004127B6" w:rsidRPr="0093058E">
              <w:rPr>
                <w:rFonts w:ascii="Verdana" w:eastAsiaTheme="minorEastAsia" w:hAnsi="Verdana"/>
                <w:sz w:val="20"/>
                <w:szCs w:val="20"/>
              </w:rPr>
              <w:t> </w:t>
            </w:r>
            <w:r w:rsidRPr="0093058E">
              <w:rPr>
                <w:rFonts w:ascii="Verdana" w:eastAsiaTheme="minorEastAsia" w:hAnsi="Verdana"/>
                <w:sz w:val="20"/>
                <w:szCs w:val="20"/>
              </w:rPr>
              <w:t>złożonych rysunków</w:t>
            </w:r>
            <w:r w:rsidR="76831324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38937742" w14:textId="0E62B0C0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program, który automatycznie tworzy odpowiednie pomiary w oparciu o</w:t>
            </w:r>
            <w:r w:rsidR="004127B6" w:rsidRPr="0093058E">
              <w:rPr>
                <w:rFonts w:ascii="Verdana" w:eastAsiaTheme="minorEastAsia" w:hAnsi="Verdana"/>
                <w:sz w:val="20"/>
                <w:szCs w:val="20"/>
              </w:rPr>
              <w:t> </w:t>
            </w:r>
            <w:r w:rsidRPr="0093058E">
              <w:rPr>
                <w:rFonts w:ascii="Verdana" w:eastAsiaTheme="minorEastAsia" w:hAnsi="Verdana"/>
                <w:sz w:val="20"/>
                <w:szCs w:val="20"/>
              </w:rPr>
              <w:t>zawartość rysunków, zapewnia zgodność z oryginalnym formatem plików DWG</w:t>
            </w:r>
            <w:r w:rsidR="7D55B682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3C9A126C" w14:textId="77D9F604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program, który posiada aktualizowane na bieżąco mapy i narzędzia do geolokalizacji, co pozwala przedstawić realny świat w obszarze roboczym programu</w:t>
            </w:r>
            <w:r w:rsidR="6AD7E20F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38A06691" w14:textId="043D6E55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program, który posiada funkcja łączenia rysunków z odnośnikami zewnętrznymi - plikami DWG, plikami graficznymi JPG i TIF, arkuszami kalkulacyjnymi Microsoft Excel oraz podkładami DWF i PDF oraz pozwala na ponownie wykorzystanie danych i stworzenie pełniejszej dokumentacji</w:t>
            </w:r>
            <w:r w:rsidR="57C3A452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36C54367" w14:textId="332B5BC4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połączenie z usługami w chmurze zapewnia użytkownikom dostęp do plików i preferencji ustawień niestandardowych</w:t>
            </w:r>
            <w:r w:rsidR="488B0453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212BF21F" w14:textId="24D2BD40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konwersja importowanej geometrii PDF do tekstu i obiektów tekstu wielowierszowego</w:t>
            </w:r>
            <w:r w:rsidR="5C28A137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1BB0A78C" w14:textId="623A72B9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narzędzia do naprawiania przerwanych ścieżek plików z odnośnikami zewnętrznymi</w:t>
            </w:r>
            <w:r w:rsidR="2CC8CD3D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1439723E" w14:textId="740DAAAB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swobodna nawigacja wśród rysunków, także podczas przesuwania poza ekran</w:t>
            </w:r>
            <w:r w:rsidR="585054BF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48CBCFDD" w14:textId="68071B66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łączenie obiektów tekstowych i obiektów tekstu wielowierszowego w jeden obiekt wielowierszowy</w:t>
            </w:r>
            <w:r w:rsidR="5F6E3511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786143E8" w14:textId="1AE44C96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tworzenie usprawnionych procesów roboczych dzięki kompatybilności i</w:t>
            </w:r>
            <w:r w:rsidR="004127B6" w:rsidRPr="0093058E">
              <w:rPr>
                <w:rFonts w:ascii="Verdana" w:eastAsiaTheme="minorEastAsia" w:hAnsi="Verdana"/>
                <w:sz w:val="20"/>
                <w:szCs w:val="20"/>
              </w:rPr>
              <w:t> </w:t>
            </w:r>
            <w:r w:rsidRPr="0093058E">
              <w:rPr>
                <w:rFonts w:ascii="Verdana" w:eastAsiaTheme="minorEastAsia" w:hAnsi="Verdana"/>
                <w:sz w:val="20"/>
                <w:szCs w:val="20"/>
              </w:rPr>
              <w:t>integracji PDF</w:t>
            </w:r>
            <w:r w:rsidR="5F6E3511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31C32105" w14:textId="500DEB75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korzystanie z danych z plików PDF, DGN i N</w:t>
            </w:r>
            <w:r w:rsidR="00CC703C" w:rsidRPr="0093058E">
              <w:rPr>
                <w:rFonts w:ascii="Verdana" w:eastAsiaTheme="minorEastAsia" w:hAnsi="Verdana"/>
                <w:sz w:val="20"/>
                <w:szCs w:val="20"/>
              </w:rPr>
              <w:t>AV</w:t>
            </w:r>
            <w:r w:rsidRPr="0093058E">
              <w:rPr>
                <w:rFonts w:ascii="Verdana" w:eastAsiaTheme="minorEastAsia" w:hAnsi="Verdana"/>
                <w:sz w:val="20"/>
                <w:szCs w:val="20"/>
              </w:rPr>
              <w:t xml:space="preserve"> oraz aplikacji do mapowania online</w:t>
            </w:r>
            <w:r w:rsidR="69D6407E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039314CA" w14:textId="345FEC6A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narzędzie do rozpoznawania tekstu SHX w celu przekształcania geometrii PDF w obiekty tekstowe, narzędzie do rozpoznawania tekstu SHX analizuje nagromadzenie geometrii i automatycznie zastępuje je obiektami wielowierszowymi</w:t>
            </w:r>
            <w:r w:rsidR="79DBA63A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4ECECE9D" w14:textId="74723C4B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rozwiązanie umożliwiające przechowywanie i współdzielenie danych projektowych</w:t>
            </w:r>
            <w:r w:rsidR="217EF027" w:rsidRPr="0093058E">
              <w:rPr>
                <w:rFonts w:ascii="Verdana" w:eastAsiaTheme="minorEastAsia" w:hAnsi="Verdana"/>
                <w:sz w:val="20"/>
                <w:szCs w:val="20"/>
              </w:rPr>
              <w:t>.</w:t>
            </w:r>
          </w:p>
          <w:p w14:paraId="157B76CC" w14:textId="67E6BCA0" w:rsidR="6F5A0C6A" w:rsidRPr="0093058E" w:rsidRDefault="6F5A0C6A" w:rsidP="7D83E8BA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</w:p>
          <w:p w14:paraId="5B1DBFF2" w14:textId="5D6D1B86" w:rsidR="4FEAC95C" w:rsidRPr="0093058E" w:rsidRDefault="4FEAC95C" w:rsidP="7D83E8BA">
            <w:p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lastRenderedPageBreak/>
              <w:t>W przypadku zaproponowania rozwiązania równoważnego, zgodnego z</w:t>
            </w:r>
            <w:r w:rsidR="00FE0261"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 </w:t>
            </w: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wymienionymi kryteriami</w:t>
            </w:r>
            <w:r w:rsidR="00C401B9"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 xml:space="preserve"> </w:t>
            </w: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równoważności, Wykonawca zobowiązuje się:</w:t>
            </w:r>
          </w:p>
          <w:p w14:paraId="52A33AB5" w14:textId="77777777" w:rsidR="006C1283" w:rsidRPr="0093058E" w:rsidRDefault="006C1283" w:rsidP="006C1283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 xml:space="preserve">zapewnić warunki i zakres usługi wsparcia producenta dla produktów równoważnych nie gorsze niż usługa określona dla licencji i subskrypcji oferowanych dla Autodesk AutoCAD LT, </w:t>
            </w:r>
            <w:r w:rsidRPr="0093058E">
              <w:rPr>
                <w:rStyle w:val="normaltextrun"/>
                <w:rFonts w:ascii="Verdana" w:hAnsi="Verdana"/>
                <w:color w:val="000000" w:themeColor="text1"/>
                <w:sz w:val="20"/>
                <w:szCs w:val="20"/>
              </w:rPr>
              <w:t>opisana na stronie https://www.autodesk.com/company/terms-of-use/pl/general-terms</w:t>
            </w:r>
          </w:p>
          <w:p w14:paraId="5B10201F" w14:textId="77777777" w:rsidR="006C1283" w:rsidRPr="0093058E" w:rsidRDefault="006C1283" w:rsidP="006C1283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 xml:space="preserve">zapewnić warunki licencji w każdym aspekcie licencjonowania nie gorsze niż dla licencji/subskrypcji będących w ofercie dla Autodesk AutoCAD LT, </w:t>
            </w:r>
            <w:r w:rsidRPr="0093058E">
              <w:rPr>
                <w:rStyle w:val="normaltextrun"/>
                <w:rFonts w:ascii="Verdana" w:hAnsi="Verdana"/>
                <w:color w:val="000000" w:themeColor="text1"/>
                <w:sz w:val="20"/>
                <w:szCs w:val="20"/>
              </w:rPr>
              <w:t xml:space="preserve">opisane na stronie </w:t>
            </w:r>
            <w:hyperlink r:id="rId13" w:history="1">
              <w:r w:rsidRPr="0093058E">
                <w:rPr>
                  <w:rStyle w:val="Hipercze"/>
                  <w:rFonts w:ascii="Verdana" w:hAnsi="Verdana"/>
                  <w:sz w:val="20"/>
                  <w:szCs w:val="20"/>
                </w:rPr>
                <w:t>https://www.autodesk.com/company/terms-of-use/pl/special-terms</w:t>
              </w:r>
            </w:hyperlink>
            <w:r w:rsidRPr="0093058E">
              <w:rPr>
                <w:rFonts w:ascii="Verdana" w:hAnsi="Verdana"/>
                <w:sz w:val="20"/>
                <w:szCs w:val="20"/>
              </w:rPr>
              <w:t xml:space="preserve"> oraz </w:t>
            </w:r>
            <w:hyperlink r:id="rId14" w:history="1">
              <w:r w:rsidRPr="0093058E">
                <w:rPr>
                  <w:rStyle w:val="Hipercze"/>
                  <w:rFonts w:ascii="Verdana" w:hAnsi="Verdana"/>
                  <w:sz w:val="20"/>
                  <w:szCs w:val="20"/>
                </w:rPr>
                <w:t>https://www.autodesk.com/company/terms-of-use/pl/offering-types-and-benefits</w:t>
              </w:r>
            </w:hyperlink>
          </w:p>
          <w:p w14:paraId="14AD3475" w14:textId="52C202B7" w:rsidR="006C1283" w:rsidRPr="0093058E" w:rsidRDefault="006C1283" w:rsidP="006C1283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 xml:space="preserve">zapewnić, że produkty równoważne są kompatybilne i w sposób niezakłócony współdziałać będą ze sprzętem i oprogramowaniem systemowym (Windows 10/11 Professional), aplikacyjnym i użytkowym, eksploatowanym u Zamawiającego, </w:t>
            </w:r>
            <w:r w:rsidRPr="0093058E">
              <w:rPr>
                <w:rFonts w:ascii="Verdana" w:eastAsiaTheme="minorEastAsia" w:hAnsi="Verdana"/>
                <w:sz w:val="20"/>
                <w:szCs w:val="20"/>
              </w:rPr>
              <w:t>tj. m. in. HCL Notes 12, pakiet Microsoft 365, Eset Endpoint Antyvirus 10.0,</w:t>
            </w:r>
          </w:p>
          <w:p w14:paraId="1617991A" w14:textId="77777777" w:rsidR="006C1283" w:rsidRPr="0093058E" w:rsidRDefault="006C1283" w:rsidP="006C1283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przeszkolić pracowników Zamawiającego w zakresie funkcjonalności i działania produktów równoważnych w terminie ustalonym z Zamawiającym - min. 10 dni roboczych szkolenia dla 2 pracowników,</w:t>
            </w:r>
          </w:p>
          <w:p w14:paraId="08B380EB" w14:textId="76FF5767" w:rsidR="00C13B9F" w:rsidRPr="0093058E" w:rsidRDefault="006C1283" w:rsidP="00C13B9F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przywrócić sprawne działanie infrastruktury sprzętowo-programowej Zamawiającego oraz na własny koszt dokonać niezbędnych modyfikacji przywracających właściwe działanie środowiska sprzętowo-programowego Zamawiającego również po odinstalowaniu produktów równoważnych w przypadku, gdy zaoferowane produkty równoważne nie będą właściwie współdziałać ze sprzętem i oprogramowaniem funkcjonującym u Zamawiającego i/lub spowodują zakłócenia w funkcjonowaniu pracy środowiska sprzętowo-programowego Zamawiającego.</w:t>
            </w:r>
            <w:r w:rsidRPr="0093058E">
              <w:rPr>
                <w:rFonts w:ascii="Verdana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F6D425F" w14:textId="373104DF" w:rsidR="590EF0B8" w:rsidRPr="0093058E" w:rsidRDefault="590EF0B8" w:rsidP="006C1283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936" w:type="dxa"/>
          </w:tcPr>
          <w:p w14:paraId="2FB3298B" w14:textId="4B8865C6" w:rsidR="590EF0B8" w:rsidRPr="0093058E" w:rsidRDefault="00C868A6" w:rsidP="7D83E8BA">
            <w:pPr>
              <w:spacing w:after="120" w:line="276" w:lineRule="auto"/>
              <w:jc w:val="center"/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lastRenderedPageBreak/>
              <w:t>2</w:t>
            </w:r>
          </w:p>
        </w:tc>
      </w:tr>
      <w:tr w:rsidR="00C868A6" w:rsidRPr="0093058E" w14:paraId="14C3492E" w14:textId="77777777" w:rsidTr="582F5A60">
        <w:tc>
          <w:tcPr>
            <w:tcW w:w="720" w:type="dxa"/>
          </w:tcPr>
          <w:p w14:paraId="5C54DC4F" w14:textId="4AB52C34" w:rsidR="00C868A6" w:rsidRPr="0093058E" w:rsidRDefault="00C868A6" w:rsidP="00C868A6">
            <w:pPr>
              <w:spacing w:after="120"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7695" w:type="dxa"/>
          </w:tcPr>
          <w:p w14:paraId="489D20F6" w14:textId="2FC60644" w:rsidR="00C868A6" w:rsidRPr="0093058E" w:rsidRDefault="00C868A6" w:rsidP="021BCAB7">
            <w:pPr>
              <w:pStyle w:val="paragraph"/>
              <w:spacing w:before="0" w:beforeAutospacing="0" w:after="120" w:afterAutospacing="0" w:line="276" w:lineRule="auto"/>
              <w:jc w:val="both"/>
              <w:textAlignment w:val="baseline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>Przedmiotem zamówienia jest przedłużenie subskrypcji oprogramowania 2D do kreślenia, rysowania</w:t>
            </w:r>
            <w:r w:rsidR="2BCA79B7"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i </w:t>
            </w:r>
            <w:r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>tworzenia dokumentacji, np. Autodesk AutoCAD LT lub równoważnego od dnia 13.12.2023 r.  na okres 36 miesięcy.</w:t>
            </w:r>
          </w:p>
          <w:p w14:paraId="1CB60EFF" w14:textId="0973970F" w:rsidR="0093058E" w:rsidRPr="0093058E" w:rsidRDefault="0093058E" w:rsidP="00C868A6">
            <w:pPr>
              <w:pStyle w:val="paragraph"/>
              <w:spacing w:before="0" w:beforeAutospacing="0" w:after="120" w:afterAutospacing="0" w:line="276" w:lineRule="auto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93058E">
              <w:rPr>
                <w:rFonts w:ascii="Verdana" w:hAnsi="Verdana"/>
                <w:b/>
                <w:bCs/>
                <w:sz w:val="20"/>
                <w:szCs w:val="20"/>
              </w:rPr>
              <w:t>Identyfikator subskrypcji: 565-20131730</w:t>
            </w:r>
          </w:p>
          <w:p w14:paraId="4F06618C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Wersja licencji: na użytkownika</w:t>
            </w:r>
          </w:p>
          <w:p w14:paraId="42D90C14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Zastosowanie: komercyjne</w:t>
            </w:r>
          </w:p>
          <w:p w14:paraId="1BB13B67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Wersja językowa: wielojęzykowa/PL</w:t>
            </w:r>
          </w:p>
          <w:p w14:paraId="7940939D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Platforma: PC</w:t>
            </w:r>
          </w:p>
          <w:p w14:paraId="3D6BECE4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Okres subskrypcji: 36 miesięcy</w:t>
            </w:r>
          </w:p>
          <w:p w14:paraId="706BAE3B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Wersja: elektroniczna</w:t>
            </w:r>
          </w:p>
          <w:p w14:paraId="6E08119B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</w:p>
          <w:p w14:paraId="46985108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Oprogramowanie wykorzystywane będzie do prac z projektami oraz bazami danych dotyczących gruntów oraz budynków. W związku z powyższym oprogramowanie musi być w pełni kompatybilne z dotychczasowymi plikami wynikowymi (DWG), które opracowywane były w programie Autodek AutoCAD LT.</w:t>
            </w:r>
          </w:p>
          <w:p w14:paraId="5C698522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</w:p>
          <w:p w14:paraId="57255266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  <w:u w:val="single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  <w:u w:val="single"/>
              </w:rPr>
              <w:t>Opis wymaganych minimalnych funkcjonalności w przypadku zaoferowania oprogramowania równoważnego</w:t>
            </w:r>
          </w:p>
          <w:p w14:paraId="4DD70638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Za oprogramowanie równoważne uznaje się oprogramowanie posiadające następujące cechy:</w:t>
            </w:r>
          </w:p>
          <w:p w14:paraId="4D167327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kompatybilność: oprogramowanie typu CAD w 100% poprawnie obsługujące w trybie edytowalnym posiadane przez Zamawiającego pliki DWG projektów zapisanych w Autodesk AutoCAD,</w:t>
            </w:r>
          </w:p>
          <w:p w14:paraId="714C6CB7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narzędzie CAD do projektowania 2D, dedykowane zarówno dla prostych jak i złożonych rysunków,</w:t>
            </w:r>
          </w:p>
          <w:p w14:paraId="1BF3A89C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program, który automatycznie tworzy odpowiednie pomiary w oparciu o zawartość rysunków, zapewnia zgodność z oryginalnym formatem plików DWG,</w:t>
            </w:r>
          </w:p>
          <w:p w14:paraId="6D983386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program, który posiada aktualizowane na bieżąco mapy i narzędzia do geolokalizacji, co pozwala przedstawić realny świat w obszarze roboczym programu,</w:t>
            </w:r>
          </w:p>
          <w:p w14:paraId="02FD8722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program, który posiada funkcja łączenia rysunków z odnośnikami zewnętrznymi - plikami DWG, plikami graficznymi JPG i TIF, arkuszami kalkulacyjnymi Microsoft Excel oraz podkładami DWF i PDF oraz pozwala na ponownie wykorzystanie danych i stworzenie pełniejszej dokumentacji,</w:t>
            </w:r>
          </w:p>
          <w:p w14:paraId="5335C2BF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połączenie z usługami w chmurze zapewnia użytkownikom dostęp do plików i preferencji ustawień niestandardowych,</w:t>
            </w:r>
          </w:p>
          <w:p w14:paraId="507CF759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konwersja importowanej geometrii PDF do tekstu i obiektów tekstu wielowierszowego,</w:t>
            </w:r>
          </w:p>
          <w:p w14:paraId="6529F9A1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narzędzia do naprawiania przerwanych ścieżek plików z odnośnikami zewnętrznymi,</w:t>
            </w:r>
          </w:p>
          <w:p w14:paraId="165A8FB3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swobodna nawigacja wśród rysunków, także podczas przesuwania poza ekran,</w:t>
            </w:r>
          </w:p>
          <w:p w14:paraId="2B478352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łączenie obiektów tekstowych i obiektów tekstu wielowierszowego w jeden obiekt wielowierszowy,</w:t>
            </w:r>
          </w:p>
          <w:p w14:paraId="7185AA97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tworzenie usprawnionych procesów roboczych dzięki kompatybilności i integracji PDF,</w:t>
            </w:r>
          </w:p>
          <w:p w14:paraId="2FEE5FD6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korzystanie z danych z plików PDF, DGN i NAV oraz aplikacji do mapowania online,</w:t>
            </w:r>
          </w:p>
          <w:p w14:paraId="66DF6DAE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narzędzie do rozpoznawania tekstu SHX w celu przekształcania geometrii PDF w obiekty tekstowe, narzędzie do rozpoznawania tekstu SHX analizuje nagromadzenie geometrii i automatycznie zastępuje je obiektami wielowierszowymi,</w:t>
            </w:r>
          </w:p>
          <w:p w14:paraId="247F9D5B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rozwiązanie umożliwiające przechowywanie i współdzielenie danych projektowych.</w:t>
            </w:r>
          </w:p>
          <w:p w14:paraId="4EC46A2C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</w:p>
          <w:p w14:paraId="602A0A13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W przypadku zaproponowania rozwiązania równoważnego, zgodnego z wymienionymi kryteriami równoważności, Wykonawca zobowiązuje się:</w:t>
            </w:r>
          </w:p>
          <w:p w14:paraId="47D170EA" w14:textId="77777777" w:rsidR="00C868A6" w:rsidRPr="0093058E" w:rsidRDefault="00C868A6" w:rsidP="00C868A6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 xml:space="preserve">zapewnić warunki i zakres usługi wsparcia producenta dla produktów równoważnych nie gorsze niż usługa określona dla licencji i subskrypcji oferowanych dla Autodesk AutoCAD LT, </w:t>
            </w:r>
            <w:r w:rsidRPr="0093058E">
              <w:rPr>
                <w:rStyle w:val="normaltextrun"/>
                <w:rFonts w:ascii="Verdana" w:hAnsi="Verdana"/>
                <w:color w:val="000000" w:themeColor="text1"/>
                <w:sz w:val="20"/>
                <w:szCs w:val="20"/>
              </w:rPr>
              <w:t>opisana na stronie https://www.autodesk.com/company/terms-of-use/pl/general-terms</w:t>
            </w:r>
          </w:p>
          <w:p w14:paraId="48E59E12" w14:textId="77777777" w:rsidR="00C868A6" w:rsidRPr="0093058E" w:rsidRDefault="00C868A6" w:rsidP="00C868A6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lastRenderedPageBreak/>
              <w:t xml:space="preserve">zapewnić warunki licencji w każdym aspekcie licencjonowania nie gorsze niż dla licencji/subskrypcji będących w ofercie dla Autodesk AutoCAD LT, </w:t>
            </w:r>
            <w:r w:rsidRPr="0093058E">
              <w:rPr>
                <w:rStyle w:val="normaltextrun"/>
                <w:rFonts w:ascii="Verdana" w:hAnsi="Verdana"/>
                <w:color w:val="000000" w:themeColor="text1"/>
                <w:sz w:val="20"/>
                <w:szCs w:val="20"/>
              </w:rPr>
              <w:t xml:space="preserve">opisane na stronie </w:t>
            </w:r>
            <w:hyperlink r:id="rId15" w:history="1">
              <w:r w:rsidRPr="0093058E">
                <w:rPr>
                  <w:rStyle w:val="Hipercze"/>
                  <w:rFonts w:ascii="Verdana" w:hAnsi="Verdana"/>
                  <w:sz w:val="20"/>
                  <w:szCs w:val="20"/>
                </w:rPr>
                <w:t>https://www.autodesk.com/company/terms-of-use/pl/special-terms</w:t>
              </w:r>
            </w:hyperlink>
            <w:r w:rsidRPr="0093058E">
              <w:rPr>
                <w:rFonts w:ascii="Verdana" w:hAnsi="Verdana"/>
                <w:sz w:val="20"/>
                <w:szCs w:val="20"/>
              </w:rPr>
              <w:t xml:space="preserve"> oraz </w:t>
            </w:r>
            <w:hyperlink r:id="rId16" w:history="1">
              <w:r w:rsidRPr="0093058E">
                <w:rPr>
                  <w:rStyle w:val="Hipercze"/>
                  <w:rFonts w:ascii="Verdana" w:hAnsi="Verdana"/>
                  <w:sz w:val="20"/>
                  <w:szCs w:val="20"/>
                </w:rPr>
                <w:t>https://www.autodesk.com/company/terms-of-use/pl/offering-types-and-benefits</w:t>
              </w:r>
            </w:hyperlink>
          </w:p>
          <w:p w14:paraId="2BEDE2F2" w14:textId="77777777" w:rsidR="00C868A6" w:rsidRPr="0093058E" w:rsidRDefault="00C868A6" w:rsidP="00C868A6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 xml:space="preserve">zapewnić, że produkty równoważne są kompatybilne i w sposób niezakłócony współdziałać będą ze sprzętem i oprogramowaniem systemowym (Windows 10/11 Professional), aplikacyjnym i użytkowym, eksploatowanym u Zamawiającego, </w:t>
            </w:r>
            <w:r w:rsidRPr="0093058E">
              <w:rPr>
                <w:rFonts w:ascii="Verdana" w:eastAsiaTheme="minorEastAsia" w:hAnsi="Verdana"/>
                <w:sz w:val="20"/>
                <w:szCs w:val="20"/>
              </w:rPr>
              <w:t>tj. m. in. HCL Notes 12, pakiet Microsoft 365, Eset Endpoint Antyvirus 10.0,</w:t>
            </w:r>
          </w:p>
          <w:p w14:paraId="60281F8D" w14:textId="77777777" w:rsidR="00C868A6" w:rsidRPr="0093058E" w:rsidRDefault="00C868A6" w:rsidP="00C868A6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przeszkolić pracowników Zamawiającego w zakresie funkcjonalności i działania produktów równoważnych w terminie ustalonym z Zamawiającym - min. 10 dni roboczych szkolenia dla 2 pracowników,</w:t>
            </w:r>
          </w:p>
          <w:p w14:paraId="7E4F428E" w14:textId="77777777" w:rsidR="00C868A6" w:rsidRPr="0093058E" w:rsidRDefault="00C868A6" w:rsidP="00C868A6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przywrócić sprawne działanie infrastruktury sprzętowo-programowej Zamawiającego oraz na własny koszt dokonać niezbędnych modyfikacji przywracających właściwe działanie środowiska sprzętowo-programowego Zamawiającego również po odinstalowaniu produktów równoważnych w przypadku, gdy zaoferowane produkty równoważne nie będą właściwie współdziałać ze sprzętem i oprogramowaniem funkcjonującym u Zamawiającego i/lub spowodują zakłócenia w funkcjonowaniu pracy środowiska sprzętowo-programowego Zamawiającego.</w:t>
            </w:r>
            <w:r w:rsidRPr="0093058E">
              <w:rPr>
                <w:rFonts w:ascii="Verdana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E94B69D" w14:textId="77777777" w:rsidR="00C868A6" w:rsidRPr="0093058E" w:rsidRDefault="00C868A6" w:rsidP="00C868A6">
            <w:pPr>
              <w:pStyle w:val="paragraph"/>
              <w:spacing w:before="0" w:beforeAutospacing="0" w:after="120" w:afterAutospacing="0" w:line="276" w:lineRule="auto"/>
              <w:jc w:val="both"/>
              <w:textAlignment w:val="baseline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6A2E7ECC" w14:textId="236DA77A" w:rsidR="00C868A6" w:rsidRPr="0093058E" w:rsidRDefault="00C868A6" w:rsidP="00C868A6">
            <w:pPr>
              <w:spacing w:after="120" w:line="276" w:lineRule="auto"/>
              <w:jc w:val="center"/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lastRenderedPageBreak/>
              <w:t>2</w:t>
            </w:r>
          </w:p>
        </w:tc>
      </w:tr>
      <w:tr w:rsidR="021BCAB7" w14:paraId="58260EB0" w14:textId="77777777" w:rsidTr="582F5A60">
        <w:trPr>
          <w:trHeight w:val="300"/>
        </w:trPr>
        <w:tc>
          <w:tcPr>
            <w:tcW w:w="720" w:type="dxa"/>
          </w:tcPr>
          <w:p w14:paraId="436EE13D" w14:textId="085C48B0" w:rsidR="0BDB20E7" w:rsidRDefault="0BDB20E7" w:rsidP="021BCAB7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7695" w:type="dxa"/>
          </w:tcPr>
          <w:p w14:paraId="39A7F8DF" w14:textId="7ACEC3C6" w:rsidR="0BDB20E7" w:rsidRPr="00F07450" w:rsidRDefault="0BDB20E7" w:rsidP="582F5A60">
            <w:pPr>
              <w:pStyle w:val="paragraph"/>
              <w:spacing w:before="0" w:beforeAutospacing="0" w:after="120" w:afterAutospacing="0" w:line="276" w:lineRule="auto"/>
              <w:jc w:val="both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582F5A60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Przedmiotem zamówienia jest nowa subskrypcja oprogramowania 2D do kreślenia, rysowania i tworzenia dokumentacji, np. Autodesk AutoCAD LT lub równoważnego </w:t>
            </w:r>
            <w:r w:rsidRPr="00F07450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od dnia </w:t>
            </w:r>
            <w:r w:rsidR="002C1A05"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>13.12.2023 r.  na okres 36 miesięcy</w:t>
            </w:r>
            <w:r w:rsidRPr="00F07450">
              <w:rPr>
                <w:rFonts w:ascii="Verdana" w:hAnsi="Verdana" w:cstheme="minorBidi"/>
                <w:b/>
                <w:bCs/>
                <w:sz w:val="20"/>
                <w:szCs w:val="20"/>
              </w:rPr>
              <w:t>.</w:t>
            </w:r>
          </w:p>
          <w:p w14:paraId="42D0C835" w14:textId="77777777" w:rsidR="0BDB20E7" w:rsidRPr="00F07450" w:rsidRDefault="0BDB20E7" w:rsidP="021BCAB7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F07450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Wersja licencji: na użytkownika</w:t>
            </w:r>
          </w:p>
          <w:p w14:paraId="7FBECE1A" w14:textId="44050FDA" w:rsidR="0BDB20E7" w:rsidRPr="00F07450" w:rsidRDefault="0BDB20E7" w:rsidP="021BCAB7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F07450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Zastosowanie: komercyjne</w:t>
            </w:r>
          </w:p>
          <w:p w14:paraId="04D7D9AA" w14:textId="6A992E87" w:rsidR="0BDB20E7" w:rsidRPr="00F07450" w:rsidRDefault="0BDB20E7" w:rsidP="021BCAB7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F07450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Wersja językowa: wielojęzykowa/PL</w:t>
            </w:r>
          </w:p>
          <w:p w14:paraId="23EEB567" w14:textId="753C210A" w:rsidR="0BDB20E7" w:rsidRPr="00F07450" w:rsidRDefault="0BDB20E7" w:rsidP="021BCAB7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F07450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Platforma: PC</w:t>
            </w:r>
          </w:p>
          <w:p w14:paraId="666E020E" w14:textId="71C51B21" w:rsidR="0BDB20E7" w:rsidRPr="00F07450" w:rsidRDefault="0BDB20E7" w:rsidP="582F5A60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F07450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 xml:space="preserve">Okres subskrypcji: </w:t>
            </w:r>
            <w:r w:rsidR="002C1A05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36 miesięcy</w:t>
            </w:r>
          </w:p>
          <w:p w14:paraId="1B732D6E" w14:textId="5EBEAC65" w:rsidR="0BDB20E7" w:rsidRDefault="0BDB20E7" w:rsidP="021BCAB7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F07450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Wersja: elektroniczna</w:t>
            </w:r>
          </w:p>
          <w:p w14:paraId="6CB83315" w14:textId="3408FF65" w:rsidR="021BCAB7" w:rsidRDefault="021BCAB7" w:rsidP="021BCAB7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</w:p>
          <w:p w14:paraId="7B533FAC" w14:textId="3286150C" w:rsidR="0BDB20E7" w:rsidRDefault="0BDB20E7" w:rsidP="021BCAB7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Oprogramowanie wykorzystywane będzie do prac z projektami oraz bazami danych dotyczących gruntów oraz budynków. W związku z powyższym oprogramowanie musi być w pełni kompatybilne z dotychczasowymi plikami wynikowymi (DWG), które opracowywane były w programie Autodek AutoCAD LT.</w:t>
            </w:r>
          </w:p>
          <w:p w14:paraId="251DBA6A" w14:textId="63C66EC2" w:rsidR="021BCAB7" w:rsidRDefault="021BCAB7" w:rsidP="021BCAB7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</w:p>
          <w:p w14:paraId="047A8231" w14:textId="7B8D4CCD" w:rsidR="0BDB20E7" w:rsidRDefault="0BDB20E7" w:rsidP="021BCAB7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  <w:u w:val="single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  <w:u w:val="single"/>
              </w:rPr>
              <w:t>Opis wymaganych minimalnych funkcjonalności w przypadku zaoferowania oprogramowania równoważnego</w:t>
            </w:r>
          </w:p>
          <w:p w14:paraId="4878988A" w14:textId="3D1E87B0" w:rsidR="0BDB20E7" w:rsidRDefault="0BDB20E7" w:rsidP="021BCAB7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Za oprogramowanie równoważne uznaje się oprogramowanie posiadające następujące cechy:</w:t>
            </w:r>
          </w:p>
          <w:p w14:paraId="0354061D" w14:textId="278158E2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kompatybilność: oprogramowanie typu CAD w 100% poprawnie obsługujące w trybie edytowalnym posiadane przez Zamawiającego pliki DWG projektów zapisanych w Autodesk AutoCAD,</w:t>
            </w:r>
          </w:p>
          <w:p w14:paraId="406ACDA6" w14:textId="07D739FC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lastRenderedPageBreak/>
              <w:t>narzędzie CAD do projektowania 2D, dedykowane zarówno dla prostych jak i złożonych rysunków,</w:t>
            </w:r>
          </w:p>
          <w:p w14:paraId="10B1FD05" w14:textId="0E62B0C0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program, który automatycznie tworzy odpowiednie pomiary w oparciu o zawartość rysunków, zapewnia zgodność z oryginalnym formatem plików DWG,</w:t>
            </w:r>
          </w:p>
          <w:p w14:paraId="3790A262" w14:textId="77D9F604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program, który posiada aktualizowane na bieżąco mapy i narzędzia do geolokalizacji, co pozwala przedstawić realny świat w obszarze roboczym programu,</w:t>
            </w:r>
          </w:p>
          <w:p w14:paraId="0E53CC44" w14:textId="043D6E55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program, który posiada funkcja łączenia rysunków z odnośnikami zewnętrznymi - plikami DWG, plikami graficznymi JPG i TIF, arkuszami kalkulacyjnymi Microsoft Excel oraz podkładami DWF i PDF oraz pozwala na ponownie wykorzystanie danych i stworzenie pełniejszej dokumentacji,</w:t>
            </w:r>
          </w:p>
          <w:p w14:paraId="66ACEF0C" w14:textId="332B5BC4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połączenie z usługami w chmurze zapewnia użytkownikom dostęp do plików i preferencji ustawień niestandardowych,</w:t>
            </w:r>
          </w:p>
          <w:p w14:paraId="5D32DB38" w14:textId="24D2BD40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konwersja importowanej geometrii PDF do tekstu i obiektów tekstu wielowierszowego,</w:t>
            </w:r>
          </w:p>
          <w:p w14:paraId="5ED5620A" w14:textId="623A72B9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narzędzia do naprawiania przerwanych ścieżek plików z odnośnikami zewnętrznymi,</w:t>
            </w:r>
          </w:p>
          <w:p w14:paraId="18489042" w14:textId="740DAAAB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swobodna nawigacja wśród rysunków, także podczas przesuwania poza ekran,</w:t>
            </w:r>
          </w:p>
          <w:p w14:paraId="4625A866" w14:textId="68071B66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łączenie obiektów tekstowych i obiektów tekstu wielowierszowego w jeden obiekt wielowierszowy,</w:t>
            </w:r>
          </w:p>
          <w:p w14:paraId="74B17D25" w14:textId="1AE44C96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tworzenie usprawnionych procesów roboczych dzięki kompatybilności i integracji PDF,</w:t>
            </w:r>
          </w:p>
          <w:p w14:paraId="4CC9130D" w14:textId="500DEB75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korzystanie z danych z plików PDF, DGN i NAV oraz aplikacji do mapowania online,</w:t>
            </w:r>
          </w:p>
          <w:p w14:paraId="28DA4A35" w14:textId="345FEC6A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narzędzie do rozpoznawania tekstu SHX w celu przekształcania geometrii PDF w obiekty tekstowe, narzędzie do rozpoznawania tekstu SHX analizuje nagromadzenie geometrii i automatycznie zastępuje je obiektami wielowierszowymi,</w:t>
            </w:r>
          </w:p>
          <w:p w14:paraId="199FE71D" w14:textId="74723C4B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rozwiązanie umożliwiające przechowywanie i współdzielenie danych projektowych.</w:t>
            </w:r>
          </w:p>
          <w:p w14:paraId="37A2D501" w14:textId="67E6BCA0" w:rsidR="021BCAB7" w:rsidRDefault="021BCAB7" w:rsidP="021BCAB7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</w:p>
          <w:p w14:paraId="4711A59A" w14:textId="5D6D1B86" w:rsidR="0BDB20E7" w:rsidRDefault="0BDB20E7" w:rsidP="021BCAB7">
            <w:p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W przypadku zaproponowania rozwiązania równoważnego, zgodnego z wymienionymi kryteriami równoważności, Wykonawca zobowiązuje się:</w:t>
            </w:r>
          </w:p>
          <w:p w14:paraId="525A77CB" w14:textId="77777777" w:rsidR="0BDB20E7" w:rsidRDefault="0BDB20E7" w:rsidP="021BCAB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 xml:space="preserve">zapewnić warunki i zakres usługi wsparcia producenta dla produktów równoważnych nie gorsze niż usługa określona dla licencji i subskrypcji oferowanych dla Autodesk AutoCAD LT, </w:t>
            </w:r>
            <w:r w:rsidRPr="021BCAB7">
              <w:rPr>
                <w:rStyle w:val="normaltextrun"/>
                <w:rFonts w:ascii="Verdana" w:hAnsi="Verdana"/>
                <w:color w:val="000000" w:themeColor="text1"/>
                <w:sz w:val="20"/>
                <w:szCs w:val="20"/>
              </w:rPr>
              <w:t>opisana na stronie https://www.autodesk.com/company/terms-of-use/pl/general-terms</w:t>
            </w:r>
          </w:p>
          <w:p w14:paraId="571F32C4" w14:textId="77777777" w:rsidR="0BDB20E7" w:rsidRDefault="0BDB20E7" w:rsidP="021BCAB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 xml:space="preserve">zapewnić warunki licencji w każdym aspekcie licencjonowania nie gorsze niż dla licencji/subskrypcji będących w ofercie dla Autodesk AutoCAD LT, </w:t>
            </w:r>
            <w:r w:rsidRPr="021BCAB7">
              <w:rPr>
                <w:rStyle w:val="normaltextrun"/>
                <w:rFonts w:ascii="Verdana" w:hAnsi="Verdana"/>
                <w:color w:val="000000" w:themeColor="text1"/>
                <w:sz w:val="20"/>
                <w:szCs w:val="20"/>
              </w:rPr>
              <w:t xml:space="preserve">opisane na stronie </w:t>
            </w:r>
            <w:hyperlink r:id="rId17">
              <w:r w:rsidRPr="021BCAB7">
                <w:rPr>
                  <w:rStyle w:val="Hipercze"/>
                  <w:rFonts w:ascii="Verdana" w:hAnsi="Verdana"/>
                  <w:sz w:val="20"/>
                  <w:szCs w:val="20"/>
                </w:rPr>
                <w:t>https://www.autodesk.com/company/terms-of-use/pl/special-terms</w:t>
              </w:r>
            </w:hyperlink>
            <w:r w:rsidRPr="021BCAB7">
              <w:rPr>
                <w:rFonts w:ascii="Verdana" w:hAnsi="Verdana"/>
                <w:sz w:val="20"/>
                <w:szCs w:val="20"/>
              </w:rPr>
              <w:t xml:space="preserve"> oraz </w:t>
            </w:r>
            <w:hyperlink r:id="rId18">
              <w:r w:rsidRPr="021BCAB7">
                <w:rPr>
                  <w:rStyle w:val="Hipercze"/>
                  <w:rFonts w:ascii="Verdana" w:hAnsi="Verdana"/>
                  <w:sz w:val="20"/>
                  <w:szCs w:val="20"/>
                </w:rPr>
                <w:t>https://www.autodesk.com/company/terms-of-use/pl/offering-types-and-benefits</w:t>
              </w:r>
            </w:hyperlink>
          </w:p>
          <w:p w14:paraId="71CF42BA" w14:textId="52C202B7" w:rsidR="0BDB20E7" w:rsidRDefault="0BDB20E7" w:rsidP="021BCAB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 xml:space="preserve">zapewnić, że produkty równoważne są kompatybilne i w sposób niezakłócony współdziałać będą ze sprzętem i oprogramowaniem systemowym (Windows 10/11 Professional), aplikacyjnym </w:t>
            </w:r>
            <w:r w:rsidRPr="021BCAB7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lastRenderedPageBreak/>
              <w:t xml:space="preserve">i użytkowym, eksploatowanym u Zamawiającego, </w:t>
            </w:r>
            <w:r w:rsidRPr="021BCAB7">
              <w:rPr>
                <w:rFonts w:ascii="Verdana" w:eastAsiaTheme="minorEastAsia" w:hAnsi="Verdana"/>
                <w:sz w:val="20"/>
                <w:szCs w:val="20"/>
              </w:rPr>
              <w:t>tj. m. in. HCL Notes 12, pakiet Microsoft 365, Eset Endpoint Antyvirus 10.0,</w:t>
            </w:r>
          </w:p>
          <w:p w14:paraId="727D4F4D" w14:textId="29E2EC16" w:rsidR="0BDB20E7" w:rsidRDefault="0BDB20E7" w:rsidP="021BCAB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 xml:space="preserve">przeszkolić pracowników Zamawiającego w zakresie funkcjonalności i działania produktów równoważnych w terminie ustalonym z Zamawiającym - min. 10 dni roboczych szkolenia dla </w:t>
            </w:r>
            <w:r w:rsidR="3023A59D" w:rsidRPr="021BCAB7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1</w:t>
            </w:r>
            <w:r w:rsidRPr="021BCAB7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 xml:space="preserve"> pracownik</w:t>
            </w:r>
            <w:r w:rsidR="255D6530" w:rsidRPr="021BCAB7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a</w:t>
            </w:r>
            <w:r w:rsidRPr="021BCAB7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,</w:t>
            </w:r>
          </w:p>
          <w:p w14:paraId="2C516182" w14:textId="438BF7D1" w:rsidR="0BDB20E7" w:rsidRDefault="0BDB20E7" w:rsidP="021BCAB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21BCAB7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przywrócić sprawne działanie infrastruktury sprzętowo-programowej Zamawiającego oraz na własny koszt dokonać niezbędnych modyfikacji przywracających właściwe działanie środowiska sprzętowo-programowego Zamawiającego również po odinstalowaniu produktów równoważnych w przypadku, gdy zaoferowane produkty równoważne nie będą właściwie współdziałać ze sprzętem i oprogramowaniem funkcjonującym u Zamawiającego i/lub spowodują zakłócenia w funkcjonowaniu pracy środowiska sprzętowo-programowego Zamawiającego.</w:t>
            </w:r>
          </w:p>
          <w:p w14:paraId="7EBE36CD" w14:textId="263458D2" w:rsidR="021BCAB7" w:rsidRDefault="021BCAB7" w:rsidP="021BCAB7">
            <w:pPr>
              <w:pStyle w:val="paragraph"/>
              <w:spacing w:line="276" w:lineRule="auto"/>
              <w:jc w:val="both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552DB4A6" w14:textId="40FE2B66" w:rsidR="0BDB20E7" w:rsidRDefault="0BDB20E7" w:rsidP="021BCAB7">
            <w:pPr>
              <w:spacing w:line="276" w:lineRule="auto"/>
              <w:jc w:val="center"/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lastRenderedPageBreak/>
              <w:t>1</w:t>
            </w:r>
          </w:p>
        </w:tc>
      </w:tr>
    </w:tbl>
    <w:p w14:paraId="01ED7EE0" w14:textId="0F29144C" w:rsidR="000854A9" w:rsidRPr="0093058E" w:rsidRDefault="000854A9" w:rsidP="000854A9">
      <w:pPr>
        <w:rPr>
          <w:rFonts w:ascii="Verdana" w:hAnsi="Verdana" w:cstheme="minorHAnsi"/>
          <w:sz w:val="20"/>
          <w:szCs w:val="20"/>
        </w:rPr>
      </w:pPr>
    </w:p>
    <w:p w14:paraId="35FC4E93" w14:textId="2B5F3944" w:rsidR="000854A9" w:rsidRPr="0093058E" w:rsidRDefault="000854A9" w:rsidP="000854A9">
      <w:pPr>
        <w:tabs>
          <w:tab w:val="left" w:pos="3432"/>
        </w:tabs>
        <w:rPr>
          <w:rFonts w:ascii="Verdana" w:hAnsi="Verdana" w:cstheme="minorHAnsi"/>
          <w:sz w:val="20"/>
          <w:szCs w:val="20"/>
        </w:rPr>
      </w:pPr>
      <w:r w:rsidRPr="0093058E">
        <w:rPr>
          <w:rFonts w:ascii="Verdana" w:hAnsi="Verdana" w:cstheme="minorHAnsi"/>
          <w:sz w:val="20"/>
          <w:szCs w:val="20"/>
        </w:rPr>
        <w:tab/>
      </w:r>
    </w:p>
    <w:sectPr w:rsidR="000854A9" w:rsidRPr="0093058E" w:rsidSect="00374C7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AEC2" w14:textId="77777777" w:rsidR="005F2B59" w:rsidRDefault="005F2B59" w:rsidP="00442B71">
      <w:pPr>
        <w:spacing w:after="0" w:line="240" w:lineRule="auto"/>
      </w:pPr>
      <w:r>
        <w:separator/>
      </w:r>
    </w:p>
  </w:endnote>
  <w:endnote w:type="continuationSeparator" w:id="0">
    <w:p w14:paraId="49362FE4" w14:textId="77777777" w:rsidR="005F2B59" w:rsidRDefault="005F2B59" w:rsidP="0044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3DA8" w14:textId="77777777" w:rsidR="00CC7FED" w:rsidRDefault="00CC7F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6"/>
        <w:szCs w:val="16"/>
      </w:rPr>
      <w:id w:val="1281146797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13A6CF" w14:textId="3E7DF418" w:rsidR="00442B71" w:rsidRPr="00442B71" w:rsidRDefault="00442B71">
            <w:pPr>
              <w:pStyle w:val="Stopka"/>
              <w:jc w:val="center"/>
              <w:rPr>
                <w:rFonts w:cstheme="minorHAnsi"/>
                <w:sz w:val="16"/>
                <w:szCs w:val="16"/>
              </w:rPr>
            </w:pPr>
            <w:r w:rsidRPr="00442B71">
              <w:rPr>
                <w:rFonts w:cstheme="minorHAnsi"/>
                <w:sz w:val="16"/>
                <w:szCs w:val="16"/>
              </w:rPr>
              <w:t xml:space="preserve">Strona </w:t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442B71">
              <w:rPr>
                <w:rFonts w:cstheme="minorHAnsi"/>
                <w:sz w:val="16"/>
                <w:szCs w:val="16"/>
              </w:rPr>
              <w:t xml:space="preserve"> z </w:t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D16CC1C" w14:textId="77777777" w:rsidR="00442B71" w:rsidRDefault="00442B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FBEA" w14:textId="77777777" w:rsidR="00CC7FED" w:rsidRDefault="00CC7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DF4E0" w14:textId="77777777" w:rsidR="005F2B59" w:rsidRDefault="005F2B59" w:rsidP="00442B71">
      <w:pPr>
        <w:spacing w:after="0" w:line="240" w:lineRule="auto"/>
      </w:pPr>
      <w:r>
        <w:separator/>
      </w:r>
    </w:p>
  </w:footnote>
  <w:footnote w:type="continuationSeparator" w:id="0">
    <w:p w14:paraId="70113914" w14:textId="77777777" w:rsidR="005F2B59" w:rsidRDefault="005F2B59" w:rsidP="0044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1A65" w14:textId="77777777" w:rsidR="00CC7FED" w:rsidRDefault="00CC7F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101B" w14:textId="0897A7C5" w:rsidR="00266BFA" w:rsidRPr="0093058E" w:rsidRDefault="00266BFA" w:rsidP="00CC7FED">
    <w:pPr>
      <w:pStyle w:val="Nagwek"/>
      <w:jc w:val="both"/>
      <w:rPr>
        <w:rFonts w:ascii="Verdana" w:hAnsi="Verdana"/>
        <w:sz w:val="20"/>
        <w:szCs w:val="20"/>
      </w:rPr>
    </w:pPr>
    <w:r w:rsidRPr="00F07450">
      <w:rPr>
        <w:rFonts w:ascii="Verdana" w:hAnsi="Verdana"/>
        <w:sz w:val="20"/>
        <w:szCs w:val="20"/>
      </w:rPr>
      <w:t>PRZ/000</w:t>
    </w:r>
    <w:r w:rsidR="00F07450" w:rsidRPr="00F07450">
      <w:rPr>
        <w:rFonts w:ascii="Verdana" w:hAnsi="Verdana"/>
        <w:sz w:val="20"/>
        <w:szCs w:val="20"/>
      </w:rPr>
      <w:t>48</w:t>
    </w:r>
    <w:r w:rsidRPr="00F07450">
      <w:rPr>
        <w:rFonts w:ascii="Verdana" w:hAnsi="Verdana"/>
        <w:sz w:val="20"/>
        <w:szCs w:val="20"/>
      </w:rPr>
      <w:t>/2023 „</w:t>
    </w:r>
    <w:r w:rsidR="00A82336" w:rsidRPr="00F07450">
      <w:rPr>
        <w:rFonts w:ascii="Verdana" w:hAnsi="Verdana"/>
        <w:sz w:val="20"/>
        <w:szCs w:val="20"/>
      </w:rPr>
      <w:t>Dostawa oprogramowania do projektowania wspomaganego komputerowo (CAD)</w:t>
    </w:r>
    <w:r w:rsidRPr="00F07450">
      <w:rPr>
        <w:rFonts w:ascii="Verdana" w:hAnsi="Verdana"/>
        <w:sz w:val="20"/>
        <w:szCs w:val="20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BFA5" w14:textId="77777777" w:rsidR="00CC7FED" w:rsidRDefault="00CC7F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44EE"/>
    <w:multiLevelType w:val="hybridMultilevel"/>
    <w:tmpl w:val="530C4626"/>
    <w:lvl w:ilvl="0" w:tplc="930237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4A5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B6F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E6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45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BAF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68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22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47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3437"/>
    <w:multiLevelType w:val="multilevel"/>
    <w:tmpl w:val="180E5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4626D"/>
    <w:multiLevelType w:val="hybridMultilevel"/>
    <w:tmpl w:val="70085B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6C4F4"/>
    <w:multiLevelType w:val="hybridMultilevel"/>
    <w:tmpl w:val="F1C805AA"/>
    <w:lvl w:ilvl="0" w:tplc="ADD8A228">
      <w:start w:val="1"/>
      <w:numFmt w:val="decimal"/>
      <w:lvlText w:val="%1)"/>
      <w:lvlJc w:val="left"/>
      <w:pPr>
        <w:ind w:left="720" w:hanging="360"/>
      </w:pPr>
    </w:lvl>
    <w:lvl w:ilvl="1" w:tplc="40685B2C">
      <w:start w:val="1"/>
      <w:numFmt w:val="lowerLetter"/>
      <w:lvlText w:val="%2."/>
      <w:lvlJc w:val="left"/>
      <w:pPr>
        <w:ind w:left="1440" w:hanging="360"/>
      </w:pPr>
    </w:lvl>
    <w:lvl w:ilvl="2" w:tplc="FAD8F1F2">
      <w:start w:val="1"/>
      <w:numFmt w:val="lowerRoman"/>
      <w:lvlText w:val="%3."/>
      <w:lvlJc w:val="right"/>
      <w:pPr>
        <w:ind w:left="2160" w:hanging="180"/>
      </w:pPr>
    </w:lvl>
    <w:lvl w:ilvl="3" w:tplc="900CC760">
      <w:start w:val="1"/>
      <w:numFmt w:val="decimal"/>
      <w:lvlText w:val="%4."/>
      <w:lvlJc w:val="left"/>
      <w:pPr>
        <w:ind w:left="2880" w:hanging="360"/>
      </w:pPr>
    </w:lvl>
    <w:lvl w:ilvl="4" w:tplc="45CE5734">
      <w:start w:val="1"/>
      <w:numFmt w:val="lowerLetter"/>
      <w:lvlText w:val="%5."/>
      <w:lvlJc w:val="left"/>
      <w:pPr>
        <w:ind w:left="3600" w:hanging="360"/>
      </w:pPr>
    </w:lvl>
    <w:lvl w:ilvl="5" w:tplc="E61C5B76">
      <w:start w:val="1"/>
      <w:numFmt w:val="lowerRoman"/>
      <w:lvlText w:val="%6."/>
      <w:lvlJc w:val="right"/>
      <w:pPr>
        <w:ind w:left="4320" w:hanging="180"/>
      </w:pPr>
    </w:lvl>
    <w:lvl w:ilvl="6" w:tplc="3C620960">
      <w:start w:val="1"/>
      <w:numFmt w:val="decimal"/>
      <w:lvlText w:val="%7."/>
      <w:lvlJc w:val="left"/>
      <w:pPr>
        <w:ind w:left="5040" w:hanging="360"/>
      </w:pPr>
    </w:lvl>
    <w:lvl w:ilvl="7" w:tplc="E8B64106">
      <w:start w:val="1"/>
      <w:numFmt w:val="lowerLetter"/>
      <w:lvlText w:val="%8."/>
      <w:lvlJc w:val="left"/>
      <w:pPr>
        <w:ind w:left="5760" w:hanging="360"/>
      </w:pPr>
    </w:lvl>
    <w:lvl w:ilvl="8" w:tplc="F5B4AB8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30D1C"/>
    <w:multiLevelType w:val="hybridMultilevel"/>
    <w:tmpl w:val="449C632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C96697"/>
    <w:multiLevelType w:val="hybridMultilevel"/>
    <w:tmpl w:val="B56C5E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A2B25"/>
    <w:multiLevelType w:val="hybridMultilevel"/>
    <w:tmpl w:val="AB72B1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20862"/>
    <w:multiLevelType w:val="hybridMultilevel"/>
    <w:tmpl w:val="B56C5E64"/>
    <w:lvl w:ilvl="0" w:tplc="BF709D90">
      <w:start w:val="1"/>
      <w:numFmt w:val="decimal"/>
      <w:lvlText w:val="%1)"/>
      <w:lvlJc w:val="left"/>
      <w:pPr>
        <w:ind w:left="720" w:hanging="360"/>
      </w:pPr>
    </w:lvl>
    <w:lvl w:ilvl="1" w:tplc="2B40831E">
      <w:start w:val="1"/>
      <w:numFmt w:val="lowerLetter"/>
      <w:lvlText w:val="%2."/>
      <w:lvlJc w:val="left"/>
      <w:pPr>
        <w:ind w:left="1440" w:hanging="360"/>
      </w:pPr>
    </w:lvl>
    <w:lvl w:ilvl="2" w:tplc="7AD24DD0">
      <w:start w:val="1"/>
      <w:numFmt w:val="lowerRoman"/>
      <w:lvlText w:val="%3."/>
      <w:lvlJc w:val="right"/>
      <w:pPr>
        <w:ind w:left="2160" w:hanging="180"/>
      </w:pPr>
    </w:lvl>
    <w:lvl w:ilvl="3" w:tplc="892CC904">
      <w:start w:val="1"/>
      <w:numFmt w:val="decimal"/>
      <w:lvlText w:val="%4."/>
      <w:lvlJc w:val="left"/>
      <w:pPr>
        <w:ind w:left="2880" w:hanging="360"/>
      </w:pPr>
    </w:lvl>
    <w:lvl w:ilvl="4" w:tplc="1B7A97F6">
      <w:start w:val="1"/>
      <w:numFmt w:val="lowerLetter"/>
      <w:lvlText w:val="%5."/>
      <w:lvlJc w:val="left"/>
      <w:pPr>
        <w:ind w:left="3600" w:hanging="360"/>
      </w:pPr>
    </w:lvl>
    <w:lvl w:ilvl="5" w:tplc="5FAA6084">
      <w:start w:val="1"/>
      <w:numFmt w:val="lowerRoman"/>
      <w:lvlText w:val="%6."/>
      <w:lvlJc w:val="right"/>
      <w:pPr>
        <w:ind w:left="4320" w:hanging="180"/>
      </w:pPr>
    </w:lvl>
    <w:lvl w:ilvl="6" w:tplc="0588B5D8">
      <w:start w:val="1"/>
      <w:numFmt w:val="decimal"/>
      <w:lvlText w:val="%7."/>
      <w:lvlJc w:val="left"/>
      <w:pPr>
        <w:ind w:left="5040" w:hanging="360"/>
      </w:pPr>
    </w:lvl>
    <w:lvl w:ilvl="7" w:tplc="A5A40254">
      <w:start w:val="1"/>
      <w:numFmt w:val="lowerLetter"/>
      <w:lvlText w:val="%8."/>
      <w:lvlJc w:val="left"/>
      <w:pPr>
        <w:ind w:left="5760" w:hanging="360"/>
      </w:pPr>
    </w:lvl>
    <w:lvl w:ilvl="8" w:tplc="BF6064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0A63D"/>
    <w:multiLevelType w:val="hybridMultilevel"/>
    <w:tmpl w:val="016A9DF2"/>
    <w:lvl w:ilvl="0" w:tplc="DD0470BA">
      <w:start w:val="1"/>
      <w:numFmt w:val="upperRoman"/>
      <w:lvlText w:val="%1."/>
      <w:lvlJc w:val="right"/>
      <w:pPr>
        <w:ind w:left="720" w:hanging="360"/>
      </w:pPr>
    </w:lvl>
    <w:lvl w:ilvl="1" w:tplc="225A2EF2">
      <w:start w:val="1"/>
      <w:numFmt w:val="lowerLetter"/>
      <w:lvlText w:val="%2."/>
      <w:lvlJc w:val="left"/>
      <w:pPr>
        <w:ind w:left="1440" w:hanging="360"/>
      </w:pPr>
    </w:lvl>
    <w:lvl w:ilvl="2" w:tplc="4BCC69F8">
      <w:start w:val="1"/>
      <w:numFmt w:val="lowerRoman"/>
      <w:lvlText w:val="%3."/>
      <w:lvlJc w:val="right"/>
      <w:pPr>
        <w:ind w:left="2160" w:hanging="180"/>
      </w:pPr>
    </w:lvl>
    <w:lvl w:ilvl="3" w:tplc="ABB24048">
      <w:start w:val="1"/>
      <w:numFmt w:val="decimal"/>
      <w:lvlText w:val="%4."/>
      <w:lvlJc w:val="left"/>
      <w:pPr>
        <w:ind w:left="2880" w:hanging="360"/>
      </w:pPr>
    </w:lvl>
    <w:lvl w:ilvl="4" w:tplc="8D183574">
      <w:start w:val="1"/>
      <w:numFmt w:val="lowerLetter"/>
      <w:lvlText w:val="%5."/>
      <w:lvlJc w:val="left"/>
      <w:pPr>
        <w:ind w:left="3600" w:hanging="360"/>
      </w:pPr>
    </w:lvl>
    <w:lvl w:ilvl="5" w:tplc="0CD246E8">
      <w:start w:val="1"/>
      <w:numFmt w:val="lowerRoman"/>
      <w:lvlText w:val="%6."/>
      <w:lvlJc w:val="right"/>
      <w:pPr>
        <w:ind w:left="4320" w:hanging="180"/>
      </w:pPr>
    </w:lvl>
    <w:lvl w:ilvl="6" w:tplc="C6C4FA94">
      <w:start w:val="1"/>
      <w:numFmt w:val="decimal"/>
      <w:lvlText w:val="%7."/>
      <w:lvlJc w:val="left"/>
      <w:pPr>
        <w:ind w:left="5040" w:hanging="360"/>
      </w:pPr>
    </w:lvl>
    <w:lvl w:ilvl="7" w:tplc="C9F2C300">
      <w:start w:val="1"/>
      <w:numFmt w:val="lowerLetter"/>
      <w:lvlText w:val="%8."/>
      <w:lvlJc w:val="left"/>
      <w:pPr>
        <w:ind w:left="5760" w:hanging="360"/>
      </w:pPr>
    </w:lvl>
    <w:lvl w:ilvl="8" w:tplc="5F12C4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20926"/>
    <w:multiLevelType w:val="hybridMultilevel"/>
    <w:tmpl w:val="68A0318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93278749">
    <w:abstractNumId w:val="3"/>
  </w:num>
  <w:num w:numId="2" w16cid:durableId="638271503">
    <w:abstractNumId w:val="8"/>
  </w:num>
  <w:num w:numId="3" w16cid:durableId="45565185">
    <w:abstractNumId w:val="0"/>
  </w:num>
  <w:num w:numId="4" w16cid:durableId="862522166">
    <w:abstractNumId w:val="7"/>
  </w:num>
  <w:num w:numId="5" w16cid:durableId="1971858141">
    <w:abstractNumId w:val="5"/>
  </w:num>
  <w:num w:numId="6" w16cid:durableId="2129203644">
    <w:abstractNumId w:val="2"/>
  </w:num>
  <w:num w:numId="7" w16cid:durableId="685516982">
    <w:abstractNumId w:val="6"/>
  </w:num>
  <w:num w:numId="8" w16cid:durableId="1041898920">
    <w:abstractNumId w:val="4"/>
  </w:num>
  <w:num w:numId="9" w16cid:durableId="1553157625">
    <w:abstractNumId w:val="1"/>
  </w:num>
  <w:num w:numId="10" w16cid:durableId="922497196">
    <w:abstractNumId w:val="9"/>
  </w:num>
  <w:num w:numId="11" w16cid:durableId="580455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24185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39069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602EF1"/>
    <w:rsid w:val="00005B1A"/>
    <w:rsid w:val="00013A78"/>
    <w:rsid w:val="00022DE1"/>
    <w:rsid w:val="00025470"/>
    <w:rsid w:val="0005036C"/>
    <w:rsid w:val="00055CE5"/>
    <w:rsid w:val="00074A45"/>
    <w:rsid w:val="00081D23"/>
    <w:rsid w:val="000854A9"/>
    <w:rsid w:val="00085867"/>
    <w:rsid w:val="000A1633"/>
    <w:rsid w:val="000A3F61"/>
    <w:rsid w:val="000A6D4A"/>
    <w:rsid w:val="000ACD19"/>
    <w:rsid w:val="000B5F98"/>
    <w:rsid w:val="00123E27"/>
    <w:rsid w:val="0014546F"/>
    <w:rsid w:val="00152104"/>
    <w:rsid w:val="00160DE6"/>
    <w:rsid w:val="00166CB1"/>
    <w:rsid w:val="00171547"/>
    <w:rsid w:val="00193C52"/>
    <w:rsid w:val="001B380C"/>
    <w:rsid w:val="001B7E09"/>
    <w:rsid w:val="001C2F00"/>
    <w:rsid w:val="001E0117"/>
    <w:rsid w:val="002119E0"/>
    <w:rsid w:val="00213A43"/>
    <w:rsid w:val="00213D96"/>
    <w:rsid w:val="00266BFA"/>
    <w:rsid w:val="002A3AB1"/>
    <w:rsid w:val="002B31EE"/>
    <w:rsid w:val="002C1A05"/>
    <w:rsid w:val="00316E9E"/>
    <w:rsid w:val="00343C69"/>
    <w:rsid w:val="0034431E"/>
    <w:rsid w:val="003458D1"/>
    <w:rsid w:val="003466B2"/>
    <w:rsid w:val="003505D0"/>
    <w:rsid w:val="00374C76"/>
    <w:rsid w:val="003A146D"/>
    <w:rsid w:val="003B073B"/>
    <w:rsid w:val="003B1F15"/>
    <w:rsid w:val="003C0413"/>
    <w:rsid w:val="003D24AC"/>
    <w:rsid w:val="003D5ADF"/>
    <w:rsid w:val="003F3B8C"/>
    <w:rsid w:val="0040636A"/>
    <w:rsid w:val="00412464"/>
    <w:rsid w:val="004127B6"/>
    <w:rsid w:val="004146F2"/>
    <w:rsid w:val="00442B71"/>
    <w:rsid w:val="00447CB3"/>
    <w:rsid w:val="00452906"/>
    <w:rsid w:val="00466E81"/>
    <w:rsid w:val="004706B4"/>
    <w:rsid w:val="0048070C"/>
    <w:rsid w:val="00481659"/>
    <w:rsid w:val="00485C20"/>
    <w:rsid w:val="004D1DF7"/>
    <w:rsid w:val="0050343A"/>
    <w:rsid w:val="00514648"/>
    <w:rsid w:val="00515C32"/>
    <w:rsid w:val="00544687"/>
    <w:rsid w:val="00570001"/>
    <w:rsid w:val="00570EFA"/>
    <w:rsid w:val="00585C38"/>
    <w:rsid w:val="005A5B4A"/>
    <w:rsid w:val="005B1201"/>
    <w:rsid w:val="005B383D"/>
    <w:rsid w:val="005D4CDC"/>
    <w:rsid w:val="005F2B59"/>
    <w:rsid w:val="005F5F83"/>
    <w:rsid w:val="005F7996"/>
    <w:rsid w:val="006134E2"/>
    <w:rsid w:val="00640598"/>
    <w:rsid w:val="006574B6"/>
    <w:rsid w:val="00680DAF"/>
    <w:rsid w:val="006A4A14"/>
    <w:rsid w:val="006B133A"/>
    <w:rsid w:val="006B32CB"/>
    <w:rsid w:val="006C1283"/>
    <w:rsid w:val="006D23C0"/>
    <w:rsid w:val="006D757B"/>
    <w:rsid w:val="006E61F2"/>
    <w:rsid w:val="006F5986"/>
    <w:rsid w:val="00703507"/>
    <w:rsid w:val="007221A6"/>
    <w:rsid w:val="00753E6D"/>
    <w:rsid w:val="00776081"/>
    <w:rsid w:val="0079BFB1"/>
    <w:rsid w:val="007C4D3A"/>
    <w:rsid w:val="007E0589"/>
    <w:rsid w:val="00806A31"/>
    <w:rsid w:val="008178B2"/>
    <w:rsid w:val="0083CB88"/>
    <w:rsid w:val="008515DC"/>
    <w:rsid w:val="00861820"/>
    <w:rsid w:val="0086652C"/>
    <w:rsid w:val="00881767"/>
    <w:rsid w:val="008963C4"/>
    <w:rsid w:val="008A3DBD"/>
    <w:rsid w:val="008B0A35"/>
    <w:rsid w:val="008F1B1E"/>
    <w:rsid w:val="00901B79"/>
    <w:rsid w:val="0093058E"/>
    <w:rsid w:val="0093260E"/>
    <w:rsid w:val="009429F7"/>
    <w:rsid w:val="009B459E"/>
    <w:rsid w:val="009B614B"/>
    <w:rsid w:val="009D312D"/>
    <w:rsid w:val="009F356D"/>
    <w:rsid w:val="00A109C0"/>
    <w:rsid w:val="00A20A70"/>
    <w:rsid w:val="00A312D2"/>
    <w:rsid w:val="00A32F40"/>
    <w:rsid w:val="00A45CBC"/>
    <w:rsid w:val="00A473FB"/>
    <w:rsid w:val="00A52EB7"/>
    <w:rsid w:val="00A571E6"/>
    <w:rsid w:val="00A65084"/>
    <w:rsid w:val="00A82336"/>
    <w:rsid w:val="00AA0ADC"/>
    <w:rsid w:val="00AA325D"/>
    <w:rsid w:val="00AC4950"/>
    <w:rsid w:val="00AC4A79"/>
    <w:rsid w:val="00AC7019"/>
    <w:rsid w:val="00B1303C"/>
    <w:rsid w:val="00B55EED"/>
    <w:rsid w:val="00B56C96"/>
    <w:rsid w:val="00B57C04"/>
    <w:rsid w:val="00B6158E"/>
    <w:rsid w:val="00B64B1A"/>
    <w:rsid w:val="00B747C5"/>
    <w:rsid w:val="00B80D79"/>
    <w:rsid w:val="00B91B58"/>
    <w:rsid w:val="00BB6E4C"/>
    <w:rsid w:val="00BD03FE"/>
    <w:rsid w:val="00BF27F0"/>
    <w:rsid w:val="00C02B61"/>
    <w:rsid w:val="00C13477"/>
    <w:rsid w:val="00C13B9F"/>
    <w:rsid w:val="00C20529"/>
    <w:rsid w:val="00C358FB"/>
    <w:rsid w:val="00C401B9"/>
    <w:rsid w:val="00C622A3"/>
    <w:rsid w:val="00C652AD"/>
    <w:rsid w:val="00C72651"/>
    <w:rsid w:val="00C77874"/>
    <w:rsid w:val="00C868A6"/>
    <w:rsid w:val="00C90905"/>
    <w:rsid w:val="00C91895"/>
    <w:rsid w:val="00C978EC"/>
    <w:rsid w:val="00CB05D0"/>
    <w:rsid w:val="00CC703C"/>
    <w:rsid w:val="00CC7FED"/>
    <w:rsid w:val="00CE1AF8"/>
    <w:rsid w:val="00D1064F"/>
    <w:rsid w:val="00D120A8"/>
    <w:rsid w:val="00D133AB"/>
    <w:rsid w:val="00D14742"/>
    <w:rsid w:val="00D225D6"/>
    <w:rsid w:val="00D318F3"/>
    <w:rsid w:val="00D40900"/>
    <w:rsid w:val="00D4292D"/>
    <w:rsid w:val="00D535BD"/>
    <w:rsid w:val="00DC65B2"/>
    <w:rsid w:val="00DE3533"/>
    <w:rsid w:val="00DE6362"/>
    <w:rsid w:val="00DF2C34"/>
    <w:rsid w:val="00DF4815"/>
    <w:rsid w:val="00E0647F"/>
    <w:rsid w:val="00E07E66"/>
    <w:rsid w:val="00E25C7D"/>
    <w:rsid w:val="00E63D5A"/>
    <w:rsid w:val="00EC0700"/>
    <w:rsid w:val="00EC0D7D"/>
    <w:rsid w:val="00EE4427"/>
    <w:rsid w:val="00EE4E07"/>
    <w:rsid w:val="00F00191"/>
    <w:rsid w:val="00F07450"/>
    <w:rsid w:val="00F42AA0"/>
    <w:rsid w:val="00F53DEC"/>
    <w:rsid w:val="00F60CEA"/>
    <w:rsid w:val="00F62EF6"/>
    <w:rsid w:val="00F80EC2"/>
    <w:rsid w:val="00F81827"/>
    <w:rsid w:val="00FC7383"/>
    <w:rsid w:val="00FD443D"/>
    <w:rsid w:val="00FE0261"/>
    <w:rsid w:val="01063379"/>
    <w:rsid w:val="013077ED"/>
    <w:rsid w:val="0133A2EE"/>
    <w:rsid w:val="0180084E"/>
    <w:rsid w:val="01930526"/>
    <w:rsid w:val="01B2E5A8"/>
    <w:rsid w:val="021BCAB7"/>
    <w:rsid w:val="021F9BE9"/>
    <w:rsid w:val="0236B1ED"/>
    <w:rsid w:val="0236EC99"/>
    <w:rsid w:val="02514631"/>
    <w:rsid w:val="02652E06"/>
    <w:rsid w:val="02A0DAE1"/>
    <w:rsid w:val="032E340F"/>
    <w:rsid w:val="032E7D3F"/>
    <w:rsid w:val="034EB609"/>
    <w:rsid w:val="037B20CF"/>
    <w:rsid w:val="03826B8D"/>
    <w:rsid w:val="03B95567"/>
    <w:rsid w:val="03ED1692"/>
    <w:rsid w:val="04297353"/>
    <w:rsid w:val="043914E7"/>
    <w:rsid w:val="04DB3D07"/>
    <w:rsid w:val="04EA866A"/>
    <w:rsid w:val="05077865"/>
    <w:rsid w:val="057DE408"/>
    <w:rsid w:val="06137EA7"/>
    <w:rsid w:val="06190A8F"/>
    <w:rsid w:val="06330C82"/>
    <w:rsid w:val="06353374"/>
    <w:rsid w:val="06FDFD37"/>
    <w:rsid w:val="072B2CEE"/>
    <w:rsid w:val="07B3C03E"/>
    <w:rsid w:val="0801713A"/>
    <w:rsid w:val="08168219"/>
    <w:rsid w:val="08275FA3"/>
    <w:rsid w:val="088EDD6D"/>
    <w:rsid w:val="08B6FC00"/>
    <w:rsid w:val="08F7CFA2"/>
    <w:rsid w:val="08FE8CE6"/>
    <w:rsid w:val="0930C06F"/>
    <w:rsid w:val="09479A3E"/>
    <w:rsid w:val="098B2FDB"/>
    <w:rsid w:val="09FC077F"/>
    <w:rsid w:val="09FDF7BD"/>
    <w:rsid w:val="0A2896EB"/>
    <w:rsid w:val="0AAB669F"/>
    <w:rsid w:val="0BDB20E7"/>
    <w:rsid w:val="0C3B76F3"/>
    <w:rsid w:val="0C473700"/>
    <w:rsid w:val="0D3A712E"/>
    <w:rsid w:val="0D624E90"/>
    <w:rsid w:val="0D742C86"/>
    <w:rsid w:val="0DA3BE0D"/>
    <w:rsid w:val="0DB300A6"/>
    <w:rsid w:val="0DBC947D"/>
    <w:rsid w:val="0E3DD6EF"/>
    <w:rsid w:val="0E722527"/>
    <w:rsid w:val="0E83E896"/>
    <w:rsid w:val="0E934735"/>
    <w:rsid w:val="0EB59760"/>
    <w:rsid w:val="0F0A839E"/>
    <w:rsid w:val="103BEA71"/>
    <w:rsid w:val="10EDC896"/>
    <w:rsid w:val="11437360"/>
    <w:rsid w:val="11520804"/>
    <w:rsid w:val="117208D9"/>
    <w:rsid w:val="11755390"/>
    <w:rsid w:val="1198C156"/>
    <w:rsid w:val="11C74E2D"/>
    <w:rsid w:val="11ED3822"/>
    <w:rsid w:val="123BA2ED"/>
    <w:rsid w:val="124EFCF1"/>
    <w:rsid w:val="12786AD3"/>
    <w:rsid w:val="12F81627"/>
    <w:rsid w:val="1334ED0C"/>
    <w:rsid w:val="1345C337"/>
    <w:rsid w:val="13672796"/>
    <w:rsid w:val="13771329"/>
    <w:rsid w:val="13A07CDD"/>
    <w:rsid w:val="14E19398"/>
    <w:rsid w:val="15113EC5"/>
    <w:rsid w:val="1545840D"/>
    <w:rsid w:val="157DC84E"/>
    <w:rsid w:val="15A1736F"/>
    <w:rsid w:val="15A6F843"/>
    <w:rsid w:val="15DDBC63"/>
    <w:rsid w:val="1625BE7F"/>
    <w:rsid w:val="16636BE7"/>
    <w:rsid w:val="167D63F9"/>
    <w:rsid w:val="16A2C965"/>
    <w:rsid w:val="17111F74"/>
    <w:rsid w:val="17329132"/>
    <w:rsid w:val="173CBC51"/>
    <w:rsid w:val="1819345A"/>
    <w:rsid w:val="18EAF618"/>
    <w:rsid w:val="1915E0F2"/>
    <w:rsid w:val="19167398"/>
    <w:rsid w:val="19B504BB"/>
    <w:rsid w:val="1B12732E"/>
    <w:rsid w:val="1B2B9EFE"/>
    <w:rsid w:val="1B50D51C"/>
    <w:rsid w:val="1BAB8EC2"/>
    <w:rsid w:val="1BECB33E"/>
    <w:rsid w:val="1BF1DE3D"/>
    <w:rsid w:val="1C792E38"/>
    <w:rsid w:val="1C7F19F7"/>
    <w:rsid w:val="1D628F9E"/>
    <w:rsid w:val="1DC5D4B5"/>
    <w:rsid w:val="1E63FFF5"/>
    <w:rsid w:val="1E8875DE"/>
    <w:rsid w:val="1EB9AE22"/>
    <w:rsid w:val="1EBAF5A4"/>
    <w:rsid w:val="1EBBFF25"/>
    <w:rsid w:val="1ECE9367"/>
    <w:rsid w:val="1FEA0238"/>
    <w:rsid w:val="205E8CCA"/>
    <w:rsid w:val="2104DCCA"/>
    <w:rsid w:val="214E9874"/>
    <w:rsid w:val="217EF027"/>
    <w:rsid w:val="218640E3"/>
    <w:rsid w:val="21AA6FFE"/>
    <w:rsid w:val="21C2F79C"/>
    <w:rsid w:val="21C852A2"/>
    <w:rsid w:val="222A8AF7"/>
    <w:rsid w:val="226EC72D"/>
    <w:rsid w:val="22C8C9C7"/>
    <w:rsid w:val="22E8994E"/>
    <w:rsid w:val="237D66EC"/>
    <w:rsid w:val="238F7048"/>
    <w:rsid w:val="239146FC"/>
    <w:rsid w:val="23FCF022"/>
    <w:rsid w:val="24021F69"/>
    <w:rsid w:val="242948DA"/>
    <w:rsid w:val="24863936"/>
    <w:rsid w:val="248DE99A"/>
    <w:rsid w:val="24DDBD61"/>
    <w:rsid w:val="24FFF364"/>
    <w:rsid w:val="25312BAA"/>
    <w:rsid w:val="255412AB"/>
    <w:rsid w:val="255D6530"/>
    <w:rsid w:val="2598C083"/>
    <w:rsid w:val="25B7BE3D"/>
    <w:rsid w:val="25BF3B0B"/>
    <w:rsid w:val="25D75D83"/>
    <w:rsid w:val="25ED0DEC"/>
    <w:rsid w:val="25F2C516"/>
    <w:rsid w:val="26A74487"/>
    <w:rsid w:val="26ADA74E"/>
    <w:rsid w:val="272FDC84"/>
    <w:rsid w:val="27BB1511"/>
    <w:rsid w:val="27CB9A82"/>
    <w:rsid w:val="28379426"/>
    <w:rsid w:val="2846A30E"/>
    <w:rsid w:val="28D06145"/>
    <w:rsid w:val="2932D2FA"/>
    <w:rsid w:val="29395811"/>
    <w:rsid w:val="2985445F"/>
    <w:rsid w:val="29E771FE"/>
    <w:rsid w:val="2A10A0C8"/>
    <w:rsid w:val="2A3400E5"/>
    <w:rsid w:val="2A45BA8B"/>
    <w:rsid w:val="2A8B2F60"/>
    <w:rsid w:val="2B723425"/>
    <w:rsid w:val="2BCA79B7"/>
    <w:rsid w:val="2C07E947"/>
    <w:rsid w:val="2C26FFC1"/>
    <w:rsid w:val="2C3DFA8B"/>
    <w:rsid w:val="2CA340D1"/>
    <w:rsid w:val="2CB3D7DA"/>
    <w:rsid w:val="2CC8CD3D"/>
    <w:rsid w:val="2CD54DDF"/>
    <w:rsid w:val="2D7C6F94"/>
    <w:rsid w:val="2DFEC83C"/>
    <w:rsid w:val="2E26FFFA"/>
    <w:rsid w:val="2EDF2549"/>
    <w:rsid w:val="2FB0421E"/>
    <w:rsid w:val="2FC9C187"/>
    <w:rsid w:val="30124FD9"/>
    <w:rsid w:val="3023A59D"/>
    <w:rsid w:val="3069E211"/>
    <w:rsid w:val="3075E0D6"/>
    <w:rsid w:val="307AF5AA"/>
    <w:rsid w:val="30C9A7F8"/>
    <w:rsid w:val="30EECE03"/>
    <w:rsid w:val="3167305A"/>
    <w:rsid w:val="3256EDB9"/>
    <w:rsid w:val="32923A09"/>
    <w:rsid w:val="33A2613D"/>
    <w:rsid w:val="340D309C"/>
    <w:rsid w:val="34256A56"/>
    <w:rsid w:val="3433F452"/>
    <w:rsid w:val="346A7F3A"/>
    <w:rsid w:val="34F9EFDC"/>
    <w:rsid w:val="352824E7"/>
    <w:rsid w:val="3548C023"/>
    <w:rsid w:val="354951F9"/>
    <w:rsid w:val="354E66CD"/>
    <w:rsid w:val="360619A0"/>
    <w:rsid w:val="362DD6A2"/>
    <w:rsid w:val="36754482"/>
    <w:rsid w:val="36EA372E"/>
    <w:rsid w:val="36F922EB"/>
    <w:rsid w:val="37014041"/>
    <w:rsid w:val="3758139A"/>
    <w:rsid w:val="375D0B18"/>
    <w:rsid w:val="375D3FCC"/>
    <w:rsid w:val="375F8B24"/>
    <w:rsid w:val="3815FC3E"/>
    <w:rsid w:val="3828B8B0"/>
    <w:rsid w:val="3838983B"/>
    <w:rsid w:val="38672231"/>
    <w:rsid w:val="3886078F"/>
    <w:rsid w:val="389EC4A6"/>
    <w:rsid w:val="38FD7059"/>
    <w:rsid w:val="39B3D0E7"/>
    <w:rsid w:val="39BBAA06"/>
    <w:rsid w:val="39CD60FF"/>
    <w:rsid w:val="3A07AA2B"/>
    <w:rsid w:val="3A2E956B"/>
    <w:rsid w:val="3A767861"/>
    <w:rsid w:val="3B04874A"/>
    <w:rsid w:val="3B36C109"/>
    <w:rsid w:val="3B602EF1"/>
    <w:rsid w:val="3B87715C"/>
    <w:rsid w:val="3BFD7F60"/>
    <w:rsid w:val="3C154633"/>
    <w:rsid w:val="3C1C5217"/>
    <w:rsid w:val="3C5FF348"/>
    <w:rsid w:val="3CCC2731"/>
    <w:rsid w:val="3D0834CA"/>
    <w:rsid w:val="3D1E2A72"/>
    <w:rsid w:val="3D2341BD"/>
    <w:rsid w:val="3D3350FC"/>
    <w:rsid w:val="3D3C23BF"/>
    <w:rsid w:val="3D82B9D0"/>
    <w:rsid w:val="3EC4E6FA"/>
    <w:rsid w:val="3ECCB6DF"/>
    <w:rsid w:val="3F28DBE3"/>
    <w:rsid w:val="3FEC2C8F"/>
    <w:rsid w:val="402598AE"/>
    <w:rsid w:val="40306129"/>
    <w:rsid w:val="407C2A06"/>
    <w:rsid w:val="4081DCF1"/>
    <w:rsid w:val="4139FBC3"/>
    <w:rsid w:val="41B3092D"/>
    <w:rsid w:val="41E698A6"/>
    <w:rsid w:val="42BF70E6"/>
    <w:rsid w:val="42D49C93"/>
    <w:rsid w:val="43057592"/>
    <w:rsid w:val="431DECE9"/>
    <w:rsid w:val="432D6A43"/>
    <w:rsid w:val="43BAD6E4"/>
    <w:rsid w:val="44680638"/>
    <w:rsid w:val="449A61DE"/>
    <w:rsid w:val="44AC47FA"/>
    <w:rsid w:val="45832285"/>
    <w:rsid w:val="4589BD61"/>
    <w:rsid w:val="458F2A39"/>
    <w:rsid w:val="47C9E1F5"/>
    <w:rsid w:val="47CB8C3A"/>
    <w:rsid w:val="47E3E8BC"/>
    <w:rsid w:val="47E441DA"/>
    <w:rsid w:val="4824F939"/>
    <w:rsid w:val="48329DA9"/>
    <w:rsid w:val="4868D537"/>
    <w:rsid w:val="488B0453"/>
    <w:rsid w:val="496C8C93"/>
    <w:rsid w:val="498DA87E"/>
    <w:rsid w:val="49E966B1"/>
    <w:rsid w:val="4A2A54A8"/>
    <w:rsid w:val="4A620AA1"/>
    <w:rsid w:val="4A6594E1"/>
    <w:rsid w:val="4AA1D651"/>
    <w:rsid w:val="4AD02D3C"/>
    <w:rsid w:val="4AD9F835"/>
    <w:rsid w:val="4B00DA1B"/>
    <w:rsid w:val="4B0182B7"/>
    <w:rsid w:val="4BA075F9"/>
    <w:rsid w:val="4BF92C1D"/>
    <w:rsid w:val="4C88A19C"/>
    <w:rsid w:val="4C9FE585"/>
    <w:rsid w:val="4CEDBBAB"/>
    <w:rsid w:val="4D34C064"/>
    <w:rsid w:val="4E6C4230"/>
    <w:rsid w:val="4E918C35"/>
    <w:rsid w:val="4EB1EBE2"/>
    <w:rsid w:val="4F47E3B9"/>
    <w:rsid w:val="4FA29F68"/>
    <w:rsid w:val="4FB0204C"/>
    <w:rsid w:val="4FD3D3E7"/>
    <w:rsid w:val="4FEAC95C"/>
    <w:rsid w:val="502BD4D9"/>
    <w:rsid w:val="503DE516"/>
    <w:rsid w:val="50C858D4"/>
    <w:rsid w:val="50D86BE2"/>
    <w:rsid w:val="5168AF77"/>
    <w:rsid w:val="51C92CF7"/>
    <w:rsid w:val="5292A79D"/>
    <w:rsid w:val="529461EC"/>
    <w:rsid w:val="538846AE"/>
    <w:rsid w:val="5429D956"/>
    <w:rsid w:val="5430324D"/>
    <w:rsid w:val="54CC335B"/>
    <w:rsid w:val="54D46E0E"/>
    <w:rsid w:val="5507BF04"/>
    <w:rsid w:val="550E1907"/>
    <w:rsid w:val="552884EA"/>
    <w:rsid w:val="555E39BB"/>
    <w:rsid w:val="556AD275"/>
    <w:rsid w:val="57C3A452"/>
    <w:rsid w:val="5824A394"/>
    <w:rsid w:val="582F5A60"/>
    <w:rsid w:val="58405C01"/>
    <w:rsid w:val="585054BF"/>
    <w:rsid w:val="587EF901"/>
    <w:rsid w:val="588F7DF7"/>
    <w:rsid w:val="58F199C6"/>
    <w:rsid w:val="5903A370"/>
    <w:rsid w:val="590EF0B8"/>
    <w:rsid w:val="595C87A0"/>
    <w:rsid w:val="59DC2C62"/>
    <w:rsid w:val="59F6FD74"/>
    <w:rsid w:val="5A061A97"/>
    <w:rsid w:val="5A4AE646"/>
    <w:rsid w:val="5AAD86CA"/>
    <w:rsid w:val="5ABBC03C"/>
    <w:rsid w:val="5B541682"/>
    <w:rsid w:val="5B5DE808"/>
    <w:rsid w:val="5B77FCC3"/>
    <w:rsid w:val="5BB5B0F5"/>
    <w:rsid w:val="5BD37D16"/>
    <w:rsid w:val="5BD8B1CC"/>
    <w:rsid w:val="5C28A137"/>
    <w:rsid w:val="5C3006FF"/>
    <w:rsid w:val="5D33E08F"/>
    <w:rsid w:val="5D4BF33B"/>
    <w:rsid w:val="5D576878"/>
    <w:rsid w:val="5D8142EA"/>
    <w:rsid w:val="5DB67E21"/>
    <w:rsid w:val="5DD71493"/>
    <w:rsid w:val="5DD9FA22"/>
    <w:rsid w:val="5DDB9517"/>
    <w:rsid w:val="5DDF972E"/>
    <w:rsid w:val="5E375C8A"/>
    <w:rsid w:val="5E49B6AC"/>
    <w:rsid w:val="5E9A840D"/>
    <w:rsid w:val="5EB144FD"/>
    <w:rsid w:val="5F04E071"/>
    <w:rsid w:val="5F22C0F0"/>
    <w:rsid w:val="5F536183"/>
    <w:rsid w:val="5F6E3511"/>
    <w:rsid w:val="5FC8D51B"/>
    <w:rsid w:val="604D155E"/>
    <w:rsid w:val="6061F466"/>
    <w:rsid w:val="60A22275"/>
    <w:rsid w:val="60A8F370"/>
    <w:rsid w:val="61B3C372"/>
    <w:rsid w:val="61D2BFC9"/>
    <w:rsid w:val="61EB5819"/>
    <w:rsid w:val="6244C3D1"/>
    <w:rsid w:val="624D356F"/>
    <w:rsid w:val="625B5C78"/>
    <w:rsid w:val="62FC1F15"/>
    <w:rsid w:val="63AE8D6F"/>
    <w:rsid w:val="641759C3"/>
    <w:rsid w:val="64193C75"/>
    <w:rsid w:val="643B40B3"/>
    <w:rsid w:val="64505A80"/>
    <w:rsid w:val="647C2F63"/>
    <w:rsid w:val="656B76D5"/>
    <w:rsid w:val="6599235D"/>
    <w:rsid w:val="65B173CE"/>
    <w:rsid w:val="6613E4CD"/>
    <w:rsid w:val="661BC71D"/>
    <w:rsid w:val="661EE356"/>
    <w:rsid w:val="6638169F"/>
    <w:rsid w:val="664512FD"/>
    <w:rsid w:val="672982D3"/>
    <w:rsid w:val="67667A42"/>
    <w:rsid w:val="6825755B"/>
    <w:rsid w:val="682D4916"/>
    <w:rsid w:val="68567FCB"/>
    <w:rsid w:val="68B585F9"/>
    <w:rsid w:val="68EACAE6"/>
    <w:rsid w:val="68FD1099"/>
    <w:rsid w:val="69BE1268"/>
    <w:rsid w:val="69D6407E"/>
    <w:rsid w:val="69E24ACD"/>
    <w:rsid w:val="69EBD2D9"/>
    <w:rsid w:val="6A55FE90"/>
    <w:rsid w:val="6A637A54"/>
    <w:rsid w:val="6ABF9C04"/>
    <w:rsid w:val="6AC8D269"/>
    <w:rsid w:val="6AD7E20F"/>
    <w:rsid w:val="6ADBE9EC"/>
    <w:rsid w:val="6B0B87C2"/>
    <w:rsid w:val="6B17B730"/>
    <w:rsid w:val="6C226BA8"/>
    <w:rsid w:val="6C5B6C65"/>
    <w:rsid w:val="6C699DB6"/>
    <w:rsid w:val="6C787336"/>
    <w:rsid w:val="6CA75823"/>
    <w:rsid w:val="6D7FEA40"/>
    <w:rsid w:val="6DF0C5E0"/>
    <w:rsid w:val="6DF73CC6"/>
    <w:rsid w:val="6DFA98B2"/>
    <w:rsid w:val="6E0B80F2"/>
    <w:rsid w:val="6E1340BB"/>
    <w:rsid w:val="6E635EC6"/>
    <w:rsid w:val="6EB2668E"/>
    <w:rsid w:val="6EC0E799"/>
    <w:rsid w:val="6ED30C9D"/>
    <w:rsid w:val="6F5A0C6A"/>
    <w:rsid w:val="6FD96AA7"/>
    <w:rsid w:val="7063A354"/>
    <w:rsid w:val="71475F73"/>
    <w:rsid w:val="715FE2DC"/>
    <w:rsid w:val="7166FD6A"/>
    <w:rsid w:val="717F8F9E"/>
    <w:rsid w:val="71AE7BB2"/>
    <w:rsid w:val="71CC6D20"/>
    <w:rsid w:val="71D9AA83"/>
    <w:rsid w:val="726B13EE"/>
    <w:rsid w:val="72B60C81"/>
    <w:rsid w:val="73027DFD"/>
    <w:rsid w:val="731B5FFF"/>
    <w:rsid w:val="73346E38"/>
    <w:rsid w:val="7374FFE6"/>
    <w:rsid w:val="73750FD6"/>
    <w:rsid w:val="739248DA"/>
    <w:rsid w:val="739B4416"/>
    <w:rsid w:val="73A0E5F3"/>
    <w:rsid w:val="74264A17"/>
    <w:rsid w:val="74266077"/>
    <w:rsid w:val="74568C52"/>
    <w:rsid w:val="74ABF31F"/>
    <w:rsid w:val="74E87E2C"/>
    <w:rsid w:val="7532C199"/>
    <w:rsid w:val="757163B3"/>
    <w:rsid w:val="75B2DBA8"/>
    <w:rsid w:val="75BEF636"/>
    <w:rsid w:val="7631F756"/>
    <w:rsid w:val="764E3A69"/>
    <w:rsid w:val="76831324"/>
    <w:rsid w:val="77066AFF"/>
    <w:rsid w:val="77634108"/>
    <w:rsid w:val="776D0BD5"/>
    <w:rsid w:val="7775B967"/>
    <w:rsid w:val="77A60C92"/>
    <w:rsid w:val="787AFDBF"/>
    <w:rsid w:val="78A8741C"/>
    <w:rsid w:val="78ECF91F"/>
    <w:rsid w:val="793A2327"/>
    <w:rsid w:val="7941457B"/>
    <w:rsid w:val="7985DB2B"/>
    <w:rsid w:val="79C1469D"/>
    <w:rsid w:val="79DBA63A"/>
    <w:rsid w:val="7A3B011E"/>
    <w:rsid w:val="7AB6208B"/>
    <w:rsid w:val="7B375BF5"/>
    <w:rsid w:val="7B5FE54D"/>
    <w:rsid w:val="7B65C3BC"/>
    <w:rsid w:val="7B82F292"/>
    <w:rsid w:val="7B8B6FD8"/>
    <w:rsid w:val="7BAE7B2D"/>
    <w:rsid w:val="7BEDF14D"/>
    <w:rsid w:val="7BF1B1B0"/>
    <w:rsid w:val="7C407CF8"/>
    <w:rsid w:val="7C4B6418"/>
    <w:rsid w:val="7C778790"/>
    <w:rsid w:val="7C850F66"/>
    <w:rsid w:val="7C863F33"/>
    <w:rsid w:val="7C91DBD7"/>
    <w:rsid w:val="7CB556C8"/>
    <w:rsid w:val="7CC1585E"/>
    <w:rsid w:val="7CC56973"/>
    <w:rsid w:val="7CC874A2"/>
    <w:rsid w:val="7D1A18BA"/>
    <w:rsid w:val="7D43967B"/>
    <w:rsid w:val="7D4C3692"/>
    <w:rsid w:val="7D55B682"/>
    <w:rsid w:val="7D83E8BA"/>
    <w:rsid w:val="7D8735B1"/>
    <w:rsid w:val="7DBA31CE"/>
    <w:rsid w:val="7E5A15F0"/>
    <w:rsid w:val="7E63221C"/>
    <w:rsid w:val="7EF59AC0"/>
    <w:rsid w:val="7F0CF3BA"/>
    <w:rsid w:val="7F1AFC72"/>
    <w:rsid w:val="7F60D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2EF1"/>
  <w15:chartTrackingRefBased/>
  <w15:docId w15:val="{76079362-E741-4B5D-839E-8FB78B8D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F6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60CEA"/>
  </w:style>
  <w:style w:type="character" w:customStyle="1" w:styleId="spellingerror">
    <w:name w:val="spellingerror"/>
    <w:basedOn w:val="Domylnaczcionkaakapitu"/>
    <w:rsid w:val="00F60CEA"/>
  </w:style>
  <w:style w:type="character" w:customStyle="1" w:styleId="eop">
    <w:name w:val="eop"/>
    <w:basedOn w:val="Domylnaczcionkaakapitu"/>
    <w:rsid w:val="00F60CEA"/>
  </w:style>
  <w:style w:type="character" w:customStyle="1" w:styleId="scxw51607966">
    <w:name w:val="scxw51607966"/>
    <w:basedOn w:val="Domylnaczcionkaakapitu"/>
    <w:rsid w:val="00F60CEA"/>
  </w:style>
  <w:style w:type="paragraph" w:styleId="Akapitzlist">
    <w:name w:val="List Paragraph"/>
    <w:basedOn w:val="Normalny"/>
    <w:uiPriority w:val="34"/>
    <w:qFormat/>
    <w:rsid w:val="002B31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05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05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05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5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5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589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uiPriority w:val="1"/>
    <w:rsid w:val="22E8994E"/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42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B71"/>
  </w:style>
  <w:style w:type="paragraph" w:styleId="Stopka">
    <w:name w:val="footer"/>
    <w:basedOn w:val="Normalny"/>
    <w:link w:val="StopkaZnak"/>
    <w:uiPriority w:val="99"/>
    <w:unhideWhenUsed/>
    <w:rsid w:val="00442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B71"/>
  </w:style>
  <w:style w:type="character" w:styleId="Hipercze">
    <w:name w:val="Hyperlink"/>
    <w:basedOn w:val="Domylnaczcionkaakapitu"/>
    <w:uiPriority w:val="99"/>
    <w:unhideWhenUsed/>
    <w:rsid w:val="000B5F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utodesk.com/company/terms-of-use/pl/special-terms" TargetMode="External"/><Relationship Id="rId18" Type="http://schemas.openxmlformats.org/officeDocument/2006/relationships/hyperlink" Target="https://www.autodesk.com/company/terms-of-use/pl/offering-types-and-benefit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autodesk.com/company/terms-of-use/pl/offering-types-and-benefits" TargetMode="External"/><Relationship Id="rId17" Type="http://schemas.openxmlformats.org/officeDocument/2006/relationships/hyperlink" Target="https://www.autodesk.com/company/terms-of-use/pl/special-term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utodesk.com/company/terms-of-use/pl/offering-types-and-benefit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utodesk.com/company/terms-of-use/pl/special-terms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autodesk.com/company/terms-of-use/pl/special-terms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autodesk.com/company/terms-of-use/pl/general-terms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utodesk.com/company/terms-of-use/pl/offering-types-and-benefit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1" ma:contentTypeDescription="Create a new document." ma:contentTypeScope="" ma:versionID="bbf1588a27babdef9fdc6926408ec562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e8adefcbbdab7bce20da539fc2efe76c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99C58-B6DB-41AC-AC8D-3839AABCF7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F4857-5042-466E-9693-B3441383933A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3.xml><?xml version="1.0" encoding="utf-8"?>
<ds:datastoreItem xmlns:ds="http://schemas.openxmlformats.org/officeDocument/2006/customXml" ds:itemID="{C5D086CC-418A-4429-9AA9-768DC9822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2521</Words>
  <Characters>15129</Characters>
  <Application>Microsoft Office Word</Application>
  <DocSecurity>0</DocSecurity>
  <Lines>126</Lines>
  <Paragraphs>35</Paragraphs>
  <ScaleCrop>false</ScaleCrop>
  <Company/>
  <LinksUpToDate>false</LinksUpToDate>
  <CharactersWithSpaces>17615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Handl | Łukasiewicz - PIT</dc:creator>
  <cp:keywords/>
  <dc:description/>
  <cp:lastModifiedBy>Beata Górniewicz | Łukasiewicz - PIT</cp:lastModifiedBy>
  <cp:revision>261</cp:revision>
  <dcterms:created xsi:type="dcterms:W3CDTF">2022-09-09T07:29:00Z</dcterms:created>
  <dcterms:modified xsi:type="dcterms:W3CDTF">2023-10-11T10:03:00Z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