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434FDA4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E93BC0">
        <w:rPr>
          <w:rFonts w:cstheme="minorHAnsi"/>
          <w:b/>
          <w:sz w:val="24"/>
          <w:szCs w:val="24"/>
        </w:rPr>
        <w:t>3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E93BC0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 xml:space="preserve">remoncie lub przebudowie lub rozbudowie lub budowie lub modernizacji budynku o wartości robót co najmniej 500 tysięcy zł </w:t>
      </w:r>
      <w:r w:rsidR="00784068">
        <w:rPr>
          <w:rFonts w:asciiTheme="majorHAnsi" w:hAnsiTheme="majorHAnsi" w:cstheme="majorHAnsi"/>
          <w:sz w:val="24"/>
          <w:szCs w:val="24"/>
        </w:rPr>
        <w:lastRenderedPageBreak/>
        <w:t>brutto</w:t>
      </w:r>
      <w:r w:rsidR="00E522FD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E93BC0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83808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93BC0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34D0-69D0-4350-8203-0F369AE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121</cp:revision>
  <cp:lastPrinted>2016-07-26T10:32:00Z</cp:lastPrinted>
  <dcterms:created xsi:type="dcterms:W3CDTF">2016-10-17T11:42:00Z</dcterms:created>
  <dcterms:modified xsi:type="dcterms:W3CDTF">2024-02-29T14:11:00Z</dcterms:modified>
</cp:coreProperties>
</file>