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01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14"/>
        <w:gridCol w:w="2649"/>
        <w:gridCol w:w="6438"/>
      </w:tblGrid>
      <w:tr w:rsidR="00890E57" w:rsidRPr="00890E57" w14:paraId="534DEF9A" w14:textId="77777777" w:rsidTr="001A74C6">
        <w:trPr>
          <w:trHeight w:val="382"/>
        </w:trPr>
        <w:tc>
          <w:tcPr>
            <w:tcW w:w="832" w:type="pct"/>
            <w:shd w:val="clear" w:color="auto" w:fill="FFFF00"/>
            <w:vAlign w:val="center"/>
          </w:tcPr>
          <w:p w14:paraId="11D46168" w14:textId="4C4C0546" w:rsidR="0006748B" w:rsidRPr="00890E57" w:rsidRDefault="0006748B" w:rsidP="002B0B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Nazwa</w:t>
            </w:r>
          </w:p>
        </w:tc>
        <w:tc>
          <w:tcPr>
            <w:tcW w:w="4168" w:type="pct"/>
            <w:gridSpan w:val="2"/>
            <w:shd w:val="clear" w:color="auto" w:fill="FFFF00"/>
            <w:vAlign w:val="center"/>
          </w:tcPr>
          <w:p w14:paraId="1BA991E0" w14:textId="77777777" w:rsidR="0006748B" w:rsidRPr="00890E57" w:rsidRDefault="0006748B" w:rsidP="00A6306C">
            <w:pPr>
              <w:ind w:left="-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Wymagane minimalne parametry techniczne </w:t>
            </w:r>
          </w:p>
        </w:tc>
      </w:tr>
      <w:tr w:rsidR="00890E57" w:rsidRPr="00890E57" w14:paraId="0761DEDB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6FEDCDBF" w14:textId="77777777" w:rsidR="0006748B" w:rsidRPr="00890E57" w:rsidRDefault="0006748B" w:rsidP="002B0B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Typ</w:t>
            </w:r>
          </w:p>
        </w:tc>
        <w:tc>
          <w:tcPr>
            <w:tcW w:w="4168" w:type="pct"/>
            <w:gridSpan w:val="2"/>
          </w:tcPr>
          <w:p w14:paraId="10FAFA52" w14:textId="77777777" w:rsidR="0006748B" w:rsidRPr="00890E57" w:rsidRDefault="0006748B" w:rsidP="00A6306C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Komputer stacjonarny. Typu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All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in One, komputer </w:t>
            </w:r>
            <w:r w:rsidR="00B1795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fabrycznie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wbudowany w </w:t>
            </w:r>
            <w:r w:rsidR="00B1795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obudowę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monitor</w:t>
            </w:r>
            <w:r w:rsidR="00B1795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 W ofercie wymagane jest podanie modelu producenta komputera.</w:t>
            </w:r>
          </w:p>
        </w:tc>
      </w:tr>
      <w:tr w:rsidR="00890E57" w:rsidRPr="00890E57" w14:paraId="1810921B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50AF1A79" w14:textId="77777777" w:rsidR="0006748B" w:rsidRPr="00890E57" w:rsidRDefault="0006748B" w:rsidP="002B0B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Zastosowanie</w:t>
            </w:r>
          </w:p>
        </w:tc>
        <w:tc>
          <w:tcPr>
            <w:tcW w:w="4168" w:type="pct"/>
            <w:gridSpan w:val="2"/>
          </w:tcPr>
          <w:p w14:paraId="68978685" w14:textId="77777777" w:rsidR="0006748B" w:rsidRPr="00890E57" w:rsidRDefault="0006748B" w:rsidP="00A6306C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890E57" w:rsidRPr="00890E57" w14:paraId="199A80DA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465F2FD0" w14:textId="31D7A72E" w:rsidR="00993873" w:rsidRPr="00890E57" w:rsidRDefault="00993873" w:rsidP="002B0B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Procesor</w:t>
            </w:r>
          </w:p>
        </w:tc>
        <w:tc>
          <w:tcPr>
            <w:tcW w:w="4168" w:type="pct"/>
            <w:gridSpan w:val="2"/>
          </w:tcPr>
          <w:p w14:paraId="4CBA13E8" w14:textId="7DCAE87A" w:rsidR="00993873" w:rsidRPr="00890E57" w:rsidRDefault="00993873" w:rsidP="00993873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Procesor dedykowany do pracy w komputerach stacjonarnych, osiągający w teście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Passmark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CPU Mark, w kategorii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Average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CPU Mark wynik </w:t>
            </w:r>
            <w:r w:rsidR="00DE146D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nie niższy niż </w:t>
            </w:r>
            <w:r w:rsidR="00890E57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23 800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pkt. według wyników opublikowanych na stronie </w:t>
            </w:r>
            <w:hyperlink r:id="rId7" w:history="1">
              <w:r w:rsidR="00BF27CA" w:rsidRPr="00890E57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t>https://www.cpubenchmark.net/cpu_list.php</w:t>
              </w:r>
            </w:hyperlink>
            <w:r w:rsidR="00BF27CA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890E57" w:rsidRPr="00890E57" w14:paraId="1AC129B3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46D87C27" w14:textId="1DFEE0C9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Pamięć RAM</w:t>
            </w:r>
          </w:p>
        </w:tc>
        <w:tc>
          <w:tcPr>
            <w:tcW w:w="4168" w:type="pct"/>
            <w:gridSpan w:val="2"/>
          </w:tcPr>
          <w:p w14:paraId="4B159010" w14:textId="77777777" w:rsidR="005778DA" w:rsidRPr="00890E57" w:rsidRDefault="005778DA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16</w:t>
            </w:r>
            <w:r w:rsidR="0046228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GB DDR5, jeden slot wolny. </w:t>
            </w:r>
          </w:p>
          <w:p w14:paraId="2FE5B799" w14:textId="089B5B98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Możliwość rozbudowy do min 64GB.  </w:t>
            </w:r>
          </w:p>
        </w:tc>
      </w:tr>
      <w:tr w:rsidR="00890E57" w:rsidRPr="00890E57" w14:paraId="3AE9EDC1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7F696595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Pamięć masowa</w:t>
            </w:r>
          </w:p>
        </w:tc>
        <w:tc>
          <w:tcPr>
            <w:tcW w:w="4168" w:type="pct"/>
            <w:gridSpan w:val="2"/>
          </w:tcPr>
          <w:p w14:paraId="52023CF9" w14:textId="7029EBE8" w:rsidR="00462289" w:rsidRPr="00890E57" w:rsidRDefault="005778DA" w:rsidP="001236F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512</w:t>
            </w:r>
            <w:r w:rsidR="001236F5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GB SSD M.2 </w:t>
            </w:r>
            <w:proofErr w:type="spellStart"/>
            <w:r w:rsidR="001236F5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NVMe</w:t>
            </w:r>
            <w:proofErr w:type="spellEnd"/>
            <w:r w:rsidR="0033439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; dysk </w:t>
            </w:r>
            <w:proofErr w:type="spellStart"/>
            <w:r w:rsidR="0033439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>samoszyfrujący</w:t>
            </w:r>
            <w:proofErr w:type="spellEnd"/>
          </w:p>
        </w:tc>
      </w:tr>
      <w:tr w:rsidR="00890E57" w:rsidRPr="00890E57" w14:paraId="774F0ED3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3B52E206" w14:textId="0AB53C6E" w:rsidR="00462289" w:rsidRPr="00890E57" w:rsidRDefault="00DE146D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Karta graficzna</w:t>
            </w:r>
          </w:p>
        </w:tc>
        <w:tc>
          <w:tcPr>
            <w:tcW w:w="4168" w:type="pct"/>
            <w:gridSpan w:val="2"/>
          </w:tcPr>
          <w:p w14:paraId="5DD2B3F8" w14:textId="6DD7C9E2" w:rsidR="00462289" w:rsidRPr="00890E57" w:rsidRDefault="00DE146D" w:rsidP="00990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sv-SE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Zintegrowana z procesorem</w:t>
            </w:r>
            <w:r w:rsidR="00462289"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sv-SE"/>
              </w:rPr>
              <w:t xml:space="preserve"> </w:t>
            </w:r>
          </w:p>
        </w:tc>
      </w:tr>
      <w:tr w:rsidR="00890E57" w:rsidRPr="00890E57" w14:paraId="47DAF7CA" w14:textId="77777777" w:rsidTr="002B0BFC">
        <w:trPr>
          <w:trHeight w:val="204"/>
        </w:trPr>
        <w:tc>
          <w:tcPr>
            <w:tcW w:w="832" w:type="pct"/>
            <w:vMerge w:val="restart"/>
            <w:shd w:val="clear" w:color="auto" w:fill="auto"/>
          </w:tcPr>
          <w:p w14:paraId="2EF8BDC6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Matryca</w:t>
            </w:r>
          </w:p>
        </w:tc>
        <w:tc>
          <w:tcPr>
            <w:tcW w:w="1215" w:type="pct"/>
          </w:tcPr>
          <w:p w14:paraId="179517FE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Rozmiar matrycy / plamki</w:t>
            </w:r>
          </w:p>
        </w:tc>
        <w:tc>
          <w:tcPr>
            <w:tcW w:w="2953" w:type="pct"/>
          </w:tcPr>
          <w:p w14:paraId="4DC6348E" w14:textId="4F170863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23,8” </w:t>
            </w:r>
            <w:r w:rsidR="00491145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IPS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/ max. 0,275mm </w:t>
            </w:r>
          </w:p>
        </w:tc>
      </w:tr>
      <w:tr w:rsidR="00890E57" w:rsidRPr="00890E57" w14:paraId="4F197A87" w14:textId="77777777" w:rsidTr="002B0BFC">
        <w:trPr>
          <w:trHeight w:val="255"/>
        </w:trPr>
        <w:tc>
          <w:tcPr>
            <w:tcW w:w="832" w:type="pct"/>
            <w:vMerge/>
            <w:shd w:val="clear" w:color="auto" w:fill="auto"/>
          </w:tcPr>
          <w:p w14:paraId="3660CFCF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215" w:type="pct"/>
          </w:tcPr>
          <w:p w14:paraId="3B11005B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Rozdzielczość</w:t>
            </w:r>
          </w:p>
        </w:tc>
        <w:tc>
          <w:tcPr>
            <w:tcW w:w="2953" w:type="pct"/>
          </w:tcPr>
          <w:p w14:paraId="164779D4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FHD (1920x1080)</w:t>
            </w:r>
          </w:p>
        </w:tc>
      </w:tr>
      <w:tr w:rsidR="00890E57" w:rsidRPr="00890E57" w14:paraId="2F36C6C6" w14:textId="77777777" w:rsidTr="002B0BFC">
        <w:trPr>
          <w:trHeight w:val="250"/>
        </w:trPr>
        <w:tc>
          <w:tcPr>
            <w:tcW w:w="832" w:type="pct"/>
            <w:vMerge/>
            <w:shd w:val="clear" w:color="auto" w:fill="auto"/>
          </w:tcPr>
          <w:p w14:paraId="1F7E75F2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215" w:type="pct"/>
          </w:tcPr>
          <w:p w14:paraId="517F83C7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Jasność typowa</w:t>
            </w:r>
          </w:p>
        </w:tc>
        <w:tc>
          <w:tcPr>
            <w:tcW w:w="2953" w:type="pct"/>
          </w:tcPr>
          <w:p w14:paraId="735D01D6" w14:textId="69CC4B72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250 cd/m² </w:t>
            </w:r>
          </w:p>
          <w:p w14:paraId="23EF5258" w14:textId="4CA3C350" w:rsidR="00990E5A" w:rsidRPr="00890E57" w:rsidRDefault="00990E5A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</w:tr>
      <w:tr w:rsidR="00890E57" w:rsidRPr="00890E57" w14:paraId="035D217E" w14:textId="77777777" w:rsidTr="002B0BFC">
        <w:trPr>
          <w:trHeight w:val="250"/>
        </w:trPr>
        <w:tc>
          <w:tcPr>
            <w:tcW w:w="832" w:type="pct"/>
            <w:vMerge/>
            <w:shd w:val="clear" w:color="auto" w:fill="auto"/>
          </w:tcPr>
          <w:p w14:paraId="6374545F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215" w:type="pct"/>
          </w:tcPr>
          <w:p w14:paraId="00D5B46E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Kontrast typowy</w:t>
            </w:r>
          </w:p>
        </w:tc>
        <w:tc>
          <w:tcPr>
            <w:tcW w:w="2953" w:type="pct"/>
          </w:tcPr>
          <w:p w14:paraId="2177935D" w14:textId="5806C655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1000:1</w:t>
            </w:r>
          </w:p>
        </w:tc>
      </w:tr>
      <w:tr w:rsidR="00890E57" w:rsidRPr="00890E57" w14:paraId="415187E9" w14:textId="77777777" w:rsidTr="002B0BFC">
        <w:trPr>
          <w:trHeight w:val="255"/>
        </w:trPr>
        <w:tc>
          <w:tcPr>
            <w:tcW w:w="832" w:type="pct"/>
            <w:vMerge/>
            <w:shd w:val="clear" w:color="auto" w:fill="auto"/>
          </w:tcPr>
          <w:p w14:paraId="26DAA16D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215" w:type="pct"/>
          </w:tcPr>
          <w:p w14:paraId="2C6F88BC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Barwa koloru (typowa)</w:t>
            </w:r>
          </w:p>
        </w:tc>
        <w:tc>
          <w:tcPr>
            <w:tcW w:w="2953" w:type="pct"/>
          </w:tcPr>
          <w:p w14:paraId="4DDD63FC" w14:textId="3FEA7931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99%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sRGB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890E57" w:rsidRPr="00890E57" w14:paraId="3E8F3D8F" w14:textId="77777777" w:rsidTr="002B0BFC">
        <w:trPr>
          <w:trHeight w:val="285"/>
        </w:trPr>
        <w:tc>
          <w:tcPr>
            <w:tcW w:w="832" w:type="pct"/>
            <w:vMerge/>
            <w:shd w:val="clear" w:color="auto" w:fill="auto"/>
          </w:tcPr>
          <w:p w14:paraId="6FD7D134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</w:pPr>
          </w:p>
        </w:tc>
        <w:tc>
          <w:tcPr>
            <w:tcW w:w="1215" w:type="pct"/>
          </w:tcPr>
          <w:p w14:paraId="4581B6BF" w14:textId="7E8645A8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Kąty typowe </w:t>
            </w:r>
          </w:p>
        </w:tc>
        <w:tc>
          <w:tcPr>
            <w:tcW w:w="2953" w:type="pct"/>
          </w:tcPr>
          <w:p w14:paraId="1C4C84CC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178(+/- 89) / 178 (+/-89)</w:t>
            </w:r>
          </w:p>
        </w:tc>
      </w:tr>
      <w:tr w:rsidR="00890E57" w:rsidRPr="00890E57" w14:paraId="0D004DD7" w14:textId="77777777" w:rsidTr="00BF27CA">
        <w:trPr>
          <w:trHeight w:val="436"/>
        </w:trPr>
        <w:tc>
          <w:tcPr>
            <w:tcW w:w="832" w:type="pct"/>
            <w:vMerge/>
            <w:shd w:val="clear" w:color="auto" w:fill="auto"/>
          </w:tcPr>
          <w:p w14:paraId="18395A50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215" w:type="pct"/>
          </w:tcPr>
          <w:p w14:paraId="6B4A6DDA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Rodzaj matrycy</w:t>
            </w:r>
          </w:p>
          <w:p w14:paraId="407A42CA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2953" w:type="pct"/>
          </w:tcPr>
          <w:p w14:paraId="2D6126C9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Matowa IPS</w:t>
            </w:r>
          </w:p>
          <w:p w14:paraId="0319B9FA" w14:textId="134C1B9F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</w:tr>
      <w:tr w:rsidR="00890E57" w:rsidRPr="00890E57" w14:paraId="2F9D6A68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5FB6F66A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Wyposażenie multimedialne</w:t>
            </w:r>
          </w:p>
        </w:tc>
        <w:tc>
          <w:tcPr>
            <w:tcW w:w="4168" w:type="pct"/>
            <w:gridSpan w:val="2"/>
          </w:tcPr>
          <w:p w14:paraId="09183205" w14:textId="5628E673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Karta dźwiękowa zintegrowana z płytą główną, wbudowane dwa głośniki min. </w:t>
            </w:r>
            <w:r w:rsidR="002260FB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 na kanał. </w:t>
            </w:r>
          </w:p>
          <w:p w14:paraId="3BBCC604" w14:textId="13F7361A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Wbudowana w obudowę matrycy cyfrowa kamera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RBG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2,0 MP</w:t>
            </w:r>
            <w:r w:rsidR="00DE146D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m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echanicznie chowana w obudowie (nie dopuszcza się kamer przekręcanych i wystających poza obrys obudowy)</w:t>
            </w:r>
            <w:r w:rsidR="004A1F15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  <w:p w14:paraId="18B695CC" w14:textId="1E4003A3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Wbudowane w obudowę dwa mikrofony </w:t>
            </w:r>
          </w:p>
        </w:tc>
      </w:tr>
      <w:tr w:rsidR="00890E57" w:rsidRPr="00890E57" w14:paraId="37417CC4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4507F392" w14:textId="77777777" w:rsidR="00462289" w:rsidRPr="00890E57" w:rsidRDefault="00462289" w:rsidP="00462289">
            <w:pPr>
              <w:ind w:left="360" w:hanging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Obudowa</w:t>
            </w:r>
          </w:p>
        </w:tc>
        <w:tc>
          <w:tcPr>
            <w:tcW w:w="4168" w:type="pct"/>
            <w:gridSpan w:val="2"/>
          </w:tcPr>
          <w:p w14:paraId="762E2891" w14:textId="68639CBB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Typu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All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-in-One zintegrowana z monitorem min. 23.8”. Obudowa musi umożliwiać zastosowanie zabezpieczenia fizycznego w postaci linki metalowej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emontaż tylnej pokrywy musi odbywać się bez użycia narzędzi. 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ystemu montażow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VESA 100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.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Suma wymiarów obudowy bez zainstalowanego standu 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max.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96cm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172C0211" w14:textId="0A86D2A7" w:rsidR="005F0EC4" w:rsidRPr="00890E57" w:rsidRDefault="005F0EC4" w:rsidP="005F0EC4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Zasilacz o mocy 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max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. </w:t>
            </w:r>
            <w:r w:rsidR="00990E5A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180W</w:t>
            </w:r>
            <w:r w:rsidR="004A1F15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      </w:t>
            </w:r>
          </w:p>
          <w:p w14:paraId="4807DC85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 System musi zapisywać logi zdarzeń w BIOS. S</w:t>
            </w: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ystem diagnostyczny nie może wykorzystywać minimalnej ilości wolnych slotów wymaganych w specyfikacji. </w:t>
            </w:r>
          </w:p>
          <w:p w14:paraId="70A3B86C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Każdy komputer musi być oznaczony niepowtarzalnym numerem seryjnym umieszonym na obudowie, oraz wpisanym na stałe w BIOS.</w:t>
            </w:r>
          </w:p>
          <w:p w14:paraId="53E70CD5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Podstawa jednostki typu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All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– in – One musi umożliwiać:</w:t>
            </w:r>
          </w:p>
          <w:p w14:paraId="16DA1037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Regulację pochyłu pionowego w zakresie od -5 do 30 stopni.</w:t>
            </w:r>
          </w:p>
          <w:p w14:paraId="46ACBC36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Regulację wysokości w zakresie minimum 10 cm.</w:t>
            </w:r>
          </w:p>
          <w:p w14:paraId="6BBD403A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Ustawienie jednostki w trybie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Pivot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5655DE64" w14:textId="1790499F" w:rsidR="005F0EC4" w:rsidRPr="00890E57" w:rsidRDefault="00462289" w:rsidP="0025682D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Obrót podstawy w lewą oraz prawą stronę.</w:t>
            </w:r>
          </w:p>
        </w:tc>
      </w:tr>
      <w:tr w:rsidR="00890E57" w:rsidRPr="00890E57" w14:paraId="0949C211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665C4E42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Zgodność z systemami operacyjnymi i standardami</w:t>
            </w:r>
          </w:p>
        </w:tc>
        <w:tc>
          <w:tcPr>
            <w:tcW w:w="4168" w:type="pct"/>
            <w:gridSpan w:val="2"/>
          </w:tcPr>
          <w:p w14:paraId="7E3318C2" w14:textId="406ABD05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Oferowane modele komputerów muszą poprawnie współpracować z </w:t>
            </w:r>
            <w:r w:rsidR="00E7771B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oferowanym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system</w:t>
            </w:r>
            <w:r w:rsidR="00E7771B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em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operacyjnym (</w:t>
            </w:r>
            <w:r w:rsidR="00890E57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załączyć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="00E7771B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wydruk ze strony producenta oferowanego oprogramowania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).</w:t>
            </w:r>
          </w:p>
        </w:tc>
      </w:tr>
      <w:tr w:rsidR="00890E57" w:rsidRPr="00890E57" w14:paraId="300556EB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6DA6B5C1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Zdalne zarządzanie</w:t>
            </w:r>
          </w:p>
        </w:tc>
        <w:tc>
          <w:tcPr>
            <w:tcW w:w="4168" w:type="pct"/>
            <w:gridSpan w:val="2"/>
          </w:tcPr>
          <w:p w14:paraId="398BA4A7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3D386AEB" w14:textId="77777777" w:rsidR="00462289" w:rsidRPr="00890E57" w:rsidRDefault="00462289" w:rsidP="00462289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monitorowanie konfiguracji komponentów komputera - CPU, Pamięć, HDD wersja BIOS płyty głównej; </w:t>
            </w:r>
          </w:p>
          <w:p w14:paraId="386A8174" w14:textId="77777777" w:rsidR="00462289" w:rsidRPr="00890E57" w:rsidRDefault="00462289" w:rsidP="00462289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zdalną konfigurację ustawień BIOS,</w:t>
            </w:r>
          </w:p>
          <w:p w14:paraId="68F50EF0" w14:textId="77777777" w:rsidR="00462289" w:rsidRPr="00890E57" w:rsidRDefault="00462289" w:rsidP="00462289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lastRenderedPageBreak/>
              <w:t>zdalne przejęcie konsoli tekstowej systemu, przekierowanie procesu ładowania systemu operacyjnego z wirtualnego CD ROM lub FDD z  serwera zarządzającego;</w:t>
            </w:r>
          </w:p>
          <w:p w14:paraId="6CC08042" w14:textId="1C4AF830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zdalne przejecie pełnej konsoli graficznej systemu tzw. KVM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Redirection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</w:tc>
      </w:tr>
      <w:tr w:rsidR="00890E57" w:rsidRPr="00890E57" w14:paraId="0BBCE7E4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57E4416C" w14:textId="543A7A1A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Bezpieczeństwo</w:t>
            </w:r>
            <w:r w:rsidR="005F0EC4"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/ diagnostyka</w:t>
            </w:r>
          </w:p>
        </w:tc>
        <w:tc>
          <w:tcPr>
            <w:tcW w:w="4168" w:type="pct"/>
            <w:gridSpan w:val="2"/>
          </w:tcPr>
          <w:p w14:paraId="6AAEB415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4B3F8064" w14:textId="3D63EDAD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Zaimplementowany w BIOS system diagnostyczny z graficznym interfejsem użytkownika dostępny z poziomu BIOS lub szybkiego menu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boot’owania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internetu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. Nie dopuszcza się stosowania wewnętrznych i zewnętrznych urządzeń w celu uzyskania funkcjonalności systemu diagnostycznego. 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Pełna obsługa systemu diagnostycznego za pomocą klawiatury i myszy jak i samej myszy.</w:t>
            </w:r>
          </w:p>
          <w:p w14:paraId="5E2D5258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Czujnik otwarcia obudowy, musi zbierać zdarzenia i zapisywać je w BIOS </w:t>
            </w:r>
          </w:p>
        </w:tc>
      </w:tr>
      <w:tr w:rsidR="00890E57" w:rsidRPr="00890E57" w14:paraId="59C38BC6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6876FA95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BIOS</w:t>
            </w:r>
          </w:p>
        </w:tc>
        <w:tc>
          <w:tcPr>
            <w:tcW w:w="4168" w:type="pct"/>
            <w:gridSpan w:val="2"/>
          </w:tcPr>
          <w:p w14:paraId="1068F828" w14:textId="7DD183A7" w:rsidR="005F0EC4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minimalnej i maksymalnej  osiąganej prędkości zainstalowanego procesora, pojemności zainstalowanego lub zainstalowanych dysków twardych, MAC adresie zintegrowanej karty sieciowej, zintegrowanym układzie graficznym, kontrolerze audio.</w:t>
            </w:r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Funkcja umożliwiająca </w:t>
            </w:r>
            <w:proofErr w:type="spellStart"/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wł</w:t>
            </w:r>
            <w:proofErr w:type="spellEnd"/>
            <w:r w:rsidR="005F0EC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/wy kamery, mikrofonu, audio.</w:t>
            </w:r>
          </w:p>
          <w:p w14:paraId="6D2B8813" w14:textId="77777777" w:rsidR="00462289" w:rsidRPr="00890E57" w:rsidRDefault="00462289" w:rsidP="00462289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3A103019" w14:textId="77777777" w:rsidR="00462289" w:rsidRPr="00890E57" w:rsidRDefault="00462289" w:rsidP="00462289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Funkcja blokowania/odblokowania BOOT-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owania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bootujących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typu USB). Możliwość wyłączania portów USB pojedynczo. </w:t>
            </w:r>
          </w:p>
          <w:p w14:paraId="09CB5D36" w14:textId="6643ED07" w:rsidR="00462289" w:rsidRPr="00890E57" w:rsidRDefault="00462289" w:rsidP="00B83959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Dedykowane pole inwentarzowe umożliwiająca wpisanie oznaczenia sprzętu. Pole po nadaniu numeru nie może być edytowalne.</w:t>
            </w:r>
          </w:p>
        </w:tc>
      </w:tr>
      <w:tr w:rsidR="00890E57" w:rsidRPr="00890E57" w14:paraId="69E2C10F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3DD61CBF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Certyfikaty i standardy</w:t>
            </w:r>
          </w:p>
        </w:tc>
        <w:tc>
          <w:tcPr>
            <w:tcW w:w="4168" w:type="pct"/>
            <w:gridSpan w:val="2"/>
          </w:tcPr>
          <w:p w14:paraId="5D7BCEE2" w14:textId="77777777" w:rsidR="00B83959" w:rsidRPr="00890E57" w:rsidRDefault="00B8395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System zarządzania jakością - certyfikat ISO9001 dla producenta sprzętu (załączyć dokument potwierdzający spełnianie wymogu)</w:t>
            </w:r>
          </w:p>
          <w:p w14:paraId="71BCA551" w14:textId="77777777" w:rsidR="00B83959" w:rsidRPr="00890E57" w:rsidRDefault="00B8395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System zarządzania środowiskowego - certyfikat ISO14001 dla producenta sprzętu (załączyć dokument potwierdzający spełnianie wymogu)</w:t>
            </w:r>
          </w:p>
          <w:p w14:paraId="6D1EFFDF" w14:textId="64B84517" w:rsidR="00B83959" w:rsidRPr="00890E57" w:rsidRDefault="00B8395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System zarządzania energią - certyfikat ISO50001 dla producenta sprzętu (załączyć dokument potwierdzający spełnianie wymogu)</w:t>
            </w:r>
          </w:p>
          <w:p w14:paraId="594AFA22" w14:textId="77777777" w:rsidR="00B83959" w:rsidRPr="00890E57" w:rsidRDefault="00B8395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Deklaracja zgodności CE (załączyć do oferty)</w:t>
            </w:r>
          </w:p>
          <w:p w14:paraId="7429FFD8" w14:textId="1120874B" w:rsidR="00B83959" w:rsidRPr="00890E57" w:rsidRDefault="00B8395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Certyfikat TCO, wymagana certyfikacja na stronie: </w:t>
            </w:r>
            <w:hyperlink r:id="rId8" w:history="1">
              <w:r w:rsidRPr="00890E57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t>http://tcocertified.com/product-finder/</w:t>
              </w:r>
            </w:hyperlink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– załączyć do oferty wydruk z strony</w:t>
            </w:r>
            <w:r w:rsidR="00E1640C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  <w:p w14:paraId="327502E3" w14:textId="1F997F0C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Certyfikat EPEAT </w:t>
            </w:r>
            <w:r w:rsidR="009F5368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min. Silver 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dla Polski</w:t>
            </w:r>
            <w:r w:rsidR="009F5368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wymagana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certyfikacja na stronie: </w:t>
            </w:r>
            <w:hyperlink r:id="rId9" w:history="1">
              <w:r w:rsidR="00B83959" w:rsidRPr="00890E57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t>https://www.epeat.net/search-computers-and-displays</w:t>
              </w:r>
            </w:hyperlink>
          </w:p>
          <w:p w14:paraId="0AB8AD73" w14:textId="22A8C82A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lastRenderedPageBreak/>
              <w:t xml:space="preserve">Potwierdzenie spełnienia kryteriów środowiskowych, w tym zgodności z dyrektywą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RoHS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      </w:r>
          </w:p>
        </w:tc>
      </w:tr>
      <w:tr w:rsidR="00890E57" w:rsidRPr="00890E57" w14:paraId="7102D967" w14:textId="77777777" w:rsidTr="002B0BFC">
        <w:trPr>
          <w:trHeight w:val="284"/>
        </w:trPr>
        <w:tc>
          <w:tcPr>
            <w:tcW w:w="832" w:type="pct"/>
            <w:shd w:val="clear" w:color="auto" w:fill="auto"/>
          </w:tcPr>
          <w:p w14:paraId="3B1543B3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Ergonomia</w:t>
            </w:r>
          </w:p>
        </w:tc>
        <w:tc>
          <w:tcPr>
            <w:tcW w:w="4168" w:type="pct"/>
            <w:gridSpan w:val="2"/>
          </w:tcPr>
          <w:p w14:paraId="39D30F68" w14:textId="1AA5D68C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Głośność jednostki centralnej mierzona zgodnie z normą ISO 7779 oraz wykazana zgodnie z normą ISO 9296 w pozycji operatora w trybie pracy jałowej dysku twardego (IDLE) wynosząca maksymalnie 24dB (załączyć </w:t>
            </w:r>
            <w:r w:rsidR="00890E57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dokument potwierdzający spełnienie warunku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)</w:t>
            </w:r>
          </w:p>
        </w:tc>
      </w:tr>
      <w:tr w:rsidR="00890E57" w:rsidRPr="00890E57" w14:paraId="73AD37A2" w14:textId="77777777" w:rsidTr="002B0BFC">
        <w:tc>
          <w:tcPr>
            <w:tcW w:w="832" w:type="pct"/>
            <w:shd w:val="clear" w:color="auto" w:fill="auto"/>
          </w:tcPr>
          <w:p w14:paraId="155B2F58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System Operacyjny</w:t>
            </w:r>
          </w:p>
        </w:tc>
        <w:tc>
          <w:tcPr>
            <w:tcW w:w="4168" w:type="pct"/>
            <w:gridSpan w:val="2"/>
          </w:tcPr>
          <w:p w14:paraId="6633FE3C" w14:textId="29AECE5B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bdr w:val="none" w:sz="0" w:space="0" w:color="auto" w:frame="1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Zainstalowany system operacyjny Windows 11 Professional, klucz licencyjny zapisany trwale w BIOS, umożliwiać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reinstalację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systemu operacyjnego bez potrzeby ręcznego wpisywania klucza licencyjnego.</w:t>
            </w:r>
            <w:r w:rsidRPr="00890E5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bdr w:val="none" w:sz="0" w:space="0" w:color="auto" w:frame="1"/>
              </w:rPr>
              <w:t xml:space="preserve"> </w:t>
            </w:r>
          </w:p>
        </w:tc>
      </w:tr>
      <w:tr w:rsidR="00890E57" w:rsidRPr="00890E57" w14:paraId="75559103" w14:textId="77777777" w:rsidTr="002B0BFC">
        <w:tc>
          <w:tcPr>
            <w:tcW w:w="832" w:type="pct"/>
            <w:shd w:val="clear" w:color="auto" w:fill="auto"/>
          </w:tcPr>
          <w:p w14:paraId="573C3B02" w14:textId="1B733516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Wymagania dodatkowe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7A148F8E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Wbudowane porty: </w:t>
            </w:r>
          </w:p>
          <w:p w14:paraId="01D42EBB" w14:textId="46A53334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1x  DP++ 1.4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</w:p>
          <w:p w14:paraId="3AF54DB1" w14:textId="1ED05581" w:rsidR="00B83959" w:rsidRPr="00890E57" w:rsidRDefault="00B8395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1x USB 3.2 Gen 2 (10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Gbps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) z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PowerShare</w:t>
            </w:r>
            <w:proofErr w:type="spellEnd"/>
          </w:p>
          <w:p w14:paraId="6FB24F2C" w14:textId="552D6654" w:rsidR="00B83959" w:rsidRPr="00890E57" w:rsidRDefault="005C1356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 xml:space="preserve">1x 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>USB 3.2 Gen 2 (</w:t>
            </w:r>
            <w:r w:rsidR="00E1640C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>10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 xml:space="preserve"> Gbps) Type-C</w:t>
            </w:r>
          </w:p>
          <w:p w14:paraId="26943CF4" w14:textId="24F1AD90" w:rsidR="00B83959" w:rsidRPr="00890E57" w:rsidRDefault="00E1640C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>2</w:t>
            </w:r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 xml:space="preserve">x 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 xml:space="preserve">USB 3.2 Gen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>1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 xml:space="preserve"> (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>5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sv-SE"/>
              </w:rPr>
              <w:t xml:space="preserve"> Gbps)</w:t>
            </w:r>
          </w:p>
          <w:p w14:paraId="4BFA3363" w14:textId="2A7C2683" w:rsidR="005C1356" w:rsidRPr="00890E57" w:rsidRDefault="005C1356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2x 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USB </w:t>
            </w:r>
            <w:r w:rsidR="00E1640C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2.0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Gen (</w:t>
            </w:r>
            <w:r w:rsidR="00E1640C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480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</w:t>
            </w:r>
            <w:r w:rsidR="00E1640C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Mb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ps)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z</w:t>
            </w:r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SmartPower</w:t>
            </w:r>
            <w:proofErr w:type="spellEnd"/>
            <w:r w:rsidR="00B83959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On</w:t>
            </w:r>
          </w:p>
          <w:p w14:paraId="0F6339E9" w14:textId="19BDBDC3" w:rsidR="00462289" w:rsidRPr="00890E57" w:rsidRDefault="00462289" w:rsidP="00B8395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Wymagane porty USB wbudowane</w:t>
            </w:r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 obudowie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nie dopuszcza się stosowania rozgałęziaczy,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hub’ów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itp. </w:t>
            </w:r>
          </w:p>
          <w:p w14:paraId="6CB1513F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1x Universal audio jack </w:t>
            </w:r>
          </w:p>
          <w:p w14:paraId="6986C12A" w14:textId="13342D24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1x  Line-out audio</w:t>
            </w:r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, </w:t>
            </w:r>
            <w:proofErr w:type="spellStart"/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możliwość</w:t>
            </w:r>
            <w:proofErr w:type="spellEnd"/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przełączenia</w:t>
            </w:r>
            <w:proofErr w:type="spellEnd"/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 xml:space="preserve"> out&lt;-&gt;in (</w:t>
            </w:r>
            <w:proofErr w:type="spellStart"/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retaskable</w:t>
            </w:r>
            <w:proofErr w:type="spellEnd"/>
            <w:r w:rsidR="005C1356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val="en-US"/>
              </w:rPr>
              <w:t>)</w:t>
            </w:r>
          </w:p>
          <w:p w14:paraId="71AD5C05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1x  RJ-45 port 10/100/1000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Mbps</w:t>
            </w:r>
            <w:proofErr w:type="spellEnd"/>
          </w:p>
          <w:p w14:paraId="22B01E02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Czytnik kart SD 4.0 </w:t>
            </w:r>
          </w:p>
          <w:p w14:paraId="4D2D55C1" w14:textId="59FC158A" w:rsidR="005C1356" w:rsidRPr="00890E57" w:rsidRDefault="005C1356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Karta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WiFi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6E AX +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bluetooth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5.3 </w:t>
            </w:r>
            <w:r w:rsidR="004E25D8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zainstalowana w dedykowanym złączu M.2</w:t>
            </w:r>
          </w:p>
          <w:p w14:paraId="416269C8" w14:textId="01377EBC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Płyta główna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en-US"/>
              </w:rPr>
              <w:t xml:space="preserve">zaprojektowana i wyprodukowana na zlecenie producenta komputera, trwale oznaczona logo producenta oferowanej jednostki, dedykowana dla danego urządzenia; 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wyposażona w min. 2 złącza SO - DIMM z obsługą do 64GB DDR5 pamięci RAM, min. </w:t>
            </w:r>
            <w:r w:rsidR="0020714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złącz</w:t>
            </w:r>
            <w:r w:rsidR="00207144"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e</w:t>
            </w: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M.2 dla dysku twardego oraz 1 złącze M.2 karty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WiFi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.</w:t>
            </w:r>
          </w:p>
          <w:p w14:paraId="7B51346F" w14:textId="4329B800" w:rsidR="004E25D8" w:rsidRPr="00890E57" w:rsidRDefault="004E25D8" w:rsidP="00462289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Bezprzewodowy zestaw klawiatura w układzie polski programisty oraz mysz optyczna</w:t>
            </w:r>
          </w:p>
        </w:tc>
      </w:tr>
      <w:tr w:rsidR="00890E57" w:rsidRPr="00890E57" w14:paraId="5B8EFA5E" w14:textId="77777777" w:rsidTr="002B0BFC">
        <w:tc>
          <w:tcPr>
            <w:tcW w:w="832" w:type="pct"/>
            <w:shd w:val="clear" w:color="auto" w:fill="auto"/>
          </w:tcPr>
          <w:p w14:paraId="23177A67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Warunki gwarancji</w:t>
            </w:r>
          </w:p>
          <w:p w14:paraId="56BF9064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Wsparcie techniczne</w:t>
            </w:r>
          </w:p>
        </w:tc>
        <w:tc>
          <w:tcPr>
            <w:tcW w:w="4168" w:type="pct"/>
            <w:gridSpan w:val="2"/>
          </w:tcPr>
          <w:p w14:paraId="7C4B4DEE" w14:textId="7CA7820A" w:rsidR="00395CA7" w:rsidRPr="00890E57" w:rsidRDefault="00890E5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  <w:r w:rsidR="00395CA7"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-letnia gwarancja producenta świadczona na miejscu u klienta</w:t>
            </w:r>
          </w:p>
          <w:p w14:paraId="6FF99A98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Czas reakcji serwisu - do końca następnego dnia roboczego</w:t>
            </w:r>
          </w:p>
          <w:p w14:paraId="55ACB23A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5D3E4265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Oświadczenie producenta komputera, że w przypadku nie wywiązywania się z obowiązków gwarancyjnych oferenta lub firmy serwisującej, przejmie na siebie wszelkie zobowiązania związane z serwisem</w:t>
            </w:r>
          </w:p>
          <w:p w14:paraId="3886090A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W przypadku awarii dysk twardy zostaje u Zamawiającego – do oferty załączyć oświadczenie podmiotu realizującego serwis lub producenta o spełnieniu tego warunku</w:t>
            </w:r>
          </w:p>
          <w:p w14:paraId="69C433BA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9159123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1B6DB0A7" w14:textId="77777777" w:rsidR="00395CA7" w:rsidRPr="00890E57" w:rsidRDefault="00395CA7" w:rsidP="00395CA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recovery</w:t>
            </w:r>
            <w:proofErr w:type="spellEnd"/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systemu operacyjnego)</w:t>
            </w:r>
          </w:p>
          <w:p w14:paraId="4C7E27E9" w14:textId="79D46A68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06CFA27" w14:textId="77777777" w:rsidR="0071542C" w:rsidRPr="00890E57" w:rsidRDefault="0071542C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Dedykowane narzędzie do zarządzania zgłoszeniami serwisowymi samodzielnie przez portal internetowy producenta urządzenia nie wymagające działań po stronie </w:t>
            </w:r>
            <w:proofErr w:type="spellStart"/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Wykonanwcy</w:t>
            </w:r>
            <w:proofErr w:type="spellEnd"/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Narzędzie powinno umożliwiać </w:t>
            </w:r>
          </w:p>
          <w:p w14:paraId="445265E0" w14:textId="01F5DEB2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- samodzielne wystawianie zgłoszeń serwisowych, śledzenie stanu zgłoszenia, komunikację z serwisem producenta przez edycję zlecenia i stanu zlecenia</w:t>
            </w:r>
          </w:p>
          <w:p w14:paraId="281B22F6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- dostęp do materiałów serwisowych - co najmniej podręczników serwisowych i not serwisowych</w:t>
            </w:r>
          </w:p>
          <w:p w14:paraId="3418F004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- dostęp do materiałów szkoleniowych</w:t>
            </w:r>
          </w:p>
          <w:p w14:paraId="3BBC8938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 możliwości dodawania plików do otwieranego lub otwartego zlecenia (zdjęcia uszkodzeń, opisy etc.) </w:t>
            </w:r>
          </w:p>
          <w:p w14:paraId="4AE8F2EC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 śledzenie historii zleceń - raporty ze zleceń, historia - dla poszczególnych zleceń lub dla poszczególnych komputerów </w:t>
            </w:r>
          </w:p>
          <w:p w14:paraId="65BC2FCF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 xml:space="preserve">- możliwość samodzielnego zarządzania wysyłką części (decyzja o zamówieniu części zamiennych i diagnostyka po stronie zamawiającego) </w:t>
            </w:r>
          </w:p>
          <w:p w14:paraId="7F82FD80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 możliwość rejestrowania i zarządzania zdarzeniami serwisowymi - agregowania zdarzeń z oprogramowania zarządzającego dostarczonego przez producenta, możliwość konwertowania zdarzeń na zgłoszenia serwisowe do producenta - z poziomu narzędzia. </w:t>
            </w:r>
          </w:p>
          <w:p w14:paraId="0FB094B1" w14:textId="729A3FDF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color w:val="000000" w:themeColor="text1"/>
                <w:sz w:val="20"/>
              </w:rPr>
              <w:t>- możliwość spięcia systemu serwisowego producenta z systemem helpdesk zamawiającego (dostępność API co najmniej dla opcji wystawienie zlecenia, sprawdzenie stanu zlecenia, raport zleceń)</w:t>
            </w:r>
          </w:p>
          <w:p w14:paraId="19909ACA" w14:textId="4A1FABF4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</w:tr>
      <w:tr w:rsidR="00890E57" w:rsidRPr="00890E57" w14:paraId="15E4314E" w14:textId="77777777" w:rsidTr="002B0BFC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7DE7" w14:textId="77777777" w:rsidR="00462289" w:rsidRPr="00890E57" w:rsidRDefault="00462289" w:rsidP="004622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Dodatkowe oprogramowanie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09B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Oprogramowanie producenta komputera z nieograniczoną czasowo licencją na użytkowanie umożliwiające:</w:t>
            </w:r>
          </w:p>
          <w:p w14:paraId="12168469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-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upgrade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BIOS’u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 certyfikatem zgodności producenta do najnowszej dostępnej wersji, </w:t>
            </w:r>
          </w:p>
          <w:p w14:paraId="04E26B6B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7D3F8EFB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0A5D2C59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337AFADF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0FF6FAC2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- dostęp do wykaz wymaganych sterowników, aplikacji, 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BIOS’u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xml</w:t>
            </w:r>
            <w:proofErr w:type="spellEnd"/>
          </w:p>
          <w:p w14:paraId="10FE8B5E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xml</w:t>
            </w:r>
            <w:proofErr w:type="spellEnd"/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  <w:p w14:paraId="1035530B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Raport musi zawierać datę i godzinę podjętych i wykonanych akcji/zadań w przedziale czasowym min. 1 roku.</w:t>
            </w:r>
          </w:p>
          <w:p w14:paraId="68BF81D2" w14:textId="77777777" w:rsidR="00462289" w:rsidRPr="00890E57" w:rsidRDefault="00462289" w:rsidP="004622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90E57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 ofercie należy podać nazwę oprogramowania</w:t>
            </w:r>
          </w:p>
        </w:tc>
      </w:tr>
    </w:tbl>
    <w:p w14:paraId="260EB5C4" w14:textId="77777777" w:rsidR="00E442E1" w:rsidRPr="00890E57" w:rsidRDefault="00E442E1" w:rsidP="009763E5">
      <w:pPr>
        <w:rPr>
          <w:rFonts w:asciiTheme="minorHAnsi" w:hAnsiTheme="minorHAnsi" w:cstheme="minorHAnsi"/>
          <w:color w:val="000000" w:themeColor="text1"/>
          <w:sz w:val="20"/>
        </w:rPr>
      </w:pPr>
    </w:p>
    <w:sectPr w:rsidR="00E442E1" w:rsidRPr="00890E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88C8" w14:textId="77777777" w:rsidR="0067053E" w:rsidRDefault="0067053E" w:rsidP="00C634E5">
      <w:r>
        <w:separator/>
      </w:r>
    </w:p>
  </w:endnote>
  <w:endnote w:type="continuationSeparator" w:id="0">
    <w:p w14:paraId="49EDEDD2" w14:textId="77777777" w:rsidR="0067053E" w:rsidRDefault="0067053E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41A6" w14:textId="77777777" w:rsidR="0067053E" w:rsidRDefault="0067053E" w:rsidP="00C634E5">
      <w:r>
        <w:separator/>
      </w:r>
    </w:p>
  </w:footnote>
  <w:footnote w:type="continuationSeparator" w:id="0">
    <w:p w14:paraId="18B942C7" w14:textId="77777777" w:rsidR="0067053E" w:rsidRDefault="0067053E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68FA"/>
    <w:multiLevelType w:val="hybridMultilevel"/>
    <w:tmpl w:val="BE541EE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895938">
    <w:abstractNumId w:val="3"/>
  </w:num>
  <w:num w:numId="2" w16cid:durableId="1162231848">
    <w:abstractNumId w:val="4"/>
  </w:num>
  <w:num w:numId="3" w16cid:durableId="697703717">
    <w:abstractNumId w:val="8"/>
  </w:num>
  <w:num w:numId="4" w16cid:durableId="69547339">
    <w:abstractNumId w:val="1"/>
  </w:num>
  <w:num w:numId="5" w16cid:durableId="1678069355">
    <w:abstractNumId w:val="9"/>
  </w:num>
  <w:num w:numId="6" w16cid:durableId="1387140676">
    <w:abstractNumId w:val="5"/>
  </w:num>
  <w:num w:numId="7" w16cid:durableId="2119986293">
    <w:abstractNumId w:val="6"/>
  </w:num>
  <w:num w:numId="8" w16cid:durableId="1332946243">
    <w:abstractNumId w:val="0"/>
  </w:num>
  <w:num w:numId="9" w16cid:durableId="416829131">
    <w:abstractNumId w:val="7"/>
  </w:num>
  <w:num w:numId="10" w16cid:durableId="715277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B"/>
    <w:rsid w:val="00042595"/>
    <w:rsid w:val="0006748B"/>
    <w:rsid w:val="00082928"/>
    <w:rsid w:val="000D2C6C"/>
    <w:rsid w:val="000D6E61"/>
    <w:rsid w:val="00104C01"/>
    <w:rsid w:val="001236F5"/>
    <w:rsid w:val="001373F1"/>
    <w:rsid w:val="00154E57"/>
    <w:rsid w:val="0017608E"/>
    <w:rsid w:val="001A23A8"/>
    <w:rsid w:val="001A74C6"/>
    <w:rsid w:val="001E6FD6"/>
    <w:rsid w:val="001F3B73"/>
    <w:rsid w:val="00207144"/>
    <w:rsid w:val="002132C7"/>
    <w:rsid w:val="002238DF"/>
    <w:rsid w:val="002260FB"/>
    <w:rsid w:val="002321FE"/>
    <w:rsid w:val="0024528D"/>
    <w:rsid w:val="0025682D"/>
    <w:rsid w:val="00297364"/>
    <w:rsid w:val="002B0BFC"/>
    <w:rsid w:val="002C1DFE"/>
    <w:rsid w:val="00302793"/>
    <w:rsid w:val="00334396"/>
    <w:rsid w:val="00364D8B"/>
    <w:rsid w:val="00376A6D"/>
    <w:rsid w:val="00382AE5"/>
    <w:rsid w:val="00395CA7"/>
    <w:rsid w:val="003D74DF"/>
    <w:rsid w:val="00412EF6"/>
    <w:rsid w:val="004144D1"/>
    <w:rsid w:val="00436348"/>
    <w:rsid w:val="004455ED"/>
    <w:rsid w:val="00462289"/>
    <w:rsid w:val="004777C5"/>
    <w:rsid w:val="004819D9"/>
    <w:rsid w:val="00487B17"/>
    <w:rsid w:val="00491145"/>
    <w:rsid w:val="004A1F15"/>
    <w:rsid w:val="004B0BFB"/>
    <w:rsid w:val="004B68BF"/>
    <w:rsid w:val="004C6328"/>
    <w:rsid w:val="004E25D8"/>
    <w:rsid w:val="004F6371"/>
    <w:rsid w:val="00510C99"/>
    <w:rsid w:val="0056471B"/>
    <w:rsid w:val="005778DA"/>
    <w:rsid w:val="00581A0C"/>
    <w:rsid w:val="005C1356"/>
    <w:rsid w:val="005E76F3"/>
    <w:rsid w:val="005F0EC4"/>
    <w:rsid w:val="005F4C51"/>
    <w:rsid w:val="00600A4C"/>
    <w:rsid w:val="00602AE3"/>
    <w:rsid w:val="00625E82"/>
    <w:rsid w:val="006471F1"/>
    <w:rsid w:val="0067053E"/>
    <w:rsid w:val="006C666D"/>
    <w:rsid w:val="006D2A40"/>
    <w:rsid w:val="00711097"/>
    <w:rsid w:val="0071542C"/>
    <w:rsid w:val="007160AC"/>
    <w:rsid w:val="007356A3"/>
    <w:rsid w:val="00737CF6"/>
    <w:rsid w:val="00766A38"/>
    <w:rsid w:val="00774007"/>
    <w:rsid w:val="007C20FF"/>
    <w:rsid w:val="008113F0"/>
    <w:rsid w:val="00813391"/>
    <w:rsid w:val="00816A73"/>
    <w:rsid w:val="00867738"/>
    <w:rsid w:val="008770A8"/>
    <w:rsid w:val="008845D9"/>
    <w:rsid w:val="00890E57"/>
    <w:rsid w:val="008F5DD3"/>
    <w:rsid w:val="0095723D"/>
    <w:rsid w:val="00973C7F"/>
    <w:rsid w:val="009763E5"/>
    <w:rsid w:val="00990E5A"/>
    <w:rsid w:val="00993873"/>
    <w:rsid w:val="009B1E7D"/>
    <w:rsid w:val="009B59D1"/>
    <w:rsid w:val="009C0170"/>
    <w:rsid w:val="009F5368"/>
    <w:rsid w:val="00A104FB"/>
    <w:rsid w:val="00A14F7A"/>
    <w:rsid w:val="00A618CF"/>
    <w:rsid w:val="00AB2B3D"/>
    <w:rsid w:val="00AB2C24"/>
    <w:rsid w:val="00B072C5"/>
    <w:rsid w:val="00B14809"/>
    <w:rsid w:val="00B17954"/>
    <w:rsid w:val="00B46C05"/>
    <w:rsid w:val="00B83959"/>
    <w:rsid w:val="00BD711F"/>
    <w:rsid w:val="00BE265F"/>
    <w:rsid w:val="00BF27CA"/>
    <w:rsid w:val="00C066D6"/>
    <w:rsid w:val="00C24E17"/>
    <w:rsid w:val="00C54B4E"/>
    <w:rsid w:val="00C634E5"/>
    <w:rsid w:val="00CA3387"/>
    <w:rsid w:val="00CA34E9"/>
    <w:rsid w:val="00CE546F"/>
    <w:rsid w:val="00D04EE6"/>
    <w:rsid w:val="00D32AF8"/>
    <w:rsid w:val="00D45394"/>
    <w:rsid w:val="00D5341C"/>
    <w:rsid w:val="00D857AC"/>
    <w:rsid w:val="00D906AC"/>
    <w:rsid w:val="00DE146D"/>
    <w:rsid w:val="00E129EC"/>
    <w:rsid w:val="00E1640C"/>
    <w:rsid w:val="00E31D8F"/>
    <w:rsid w:val="00E442E1"/>
    <w:rsid w:val="00E7771B"/>
    <w:rsid w:val="00F14578"/>
    <w:rsid w:val="00F71F15"/>
    <w:rsid w:val="00F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BB7F5"/>
  <w15:chartTrackingRefBased/>
  <w15:docId w15:val="{4A2CEC83-0FBF-441D-9C73-D5E295E4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70A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A8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770A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A8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ocertified.com/product-fin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eat.net/search-computers-and-displ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1982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Nowacki</cp:lastModifiedBy>
  <cp:revision>2</cp:revision>
  <dcterms:created xsi:type="dcterms:W3CDTF">2024-04-15T11:09:00Z</dcterms:created>
  <dcterms:modified xsi:type="dcterms:W3CDTF">2024-08-26T12:16:00Z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