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885"/>
        <w:gridCol w:w="3720"/>
      </w:tblGrid>
      <w:tr w:rsidR="00871AB3" w:rsidRPr="00F535D0" w14:paraId="7EA5D2BD" w14:textId="77777777" w:rsidTr="00871AB3">
        <w:trPr>
          <w:trHeight w:val="914"/>
          <w:jc w:val="center"/>
        </w:trPr>
        <w:tc>
          <w:tcPr>
            <w:tcW w:w="2457" w:type="dxa"/>
            <w:vMerge w:val="restart"/>
            <w:shd w:val="clear" w:color="auto" w:fill="auto"/>
            <w:vAlign w:val="center"/>
          </w:tcPr>
          <w:p w14:paraId="42AC980B" w14:textId="77777777" w:rsidR="00871AB3" w:rsidRPr="00F535D0" w:rsidRDefault="00871AB3" w:rsidP="00AA0749">
            <w:pPr>
              <w:contextualSpacing/>
              <w:jc w:val="both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F535D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72064C" wp14:editId="2668926A">
                  <wp:extent cx="1423237" cy="800100"/>
                  <wp:effectExtent l="0" t="0" r="0" b="0"/>
                  <wp:docPr id="12" name="Logo_KMŁ_granatowe_V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KMŁ_granatowe_V_cmy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41" cy="70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251BDD4" w14:textId="69376EE3" w:rsidR="00871AB3" w:rsidRPr="00F535D0" w:rsidRDefault="00871AB3" w:rsidP="00AA0749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D0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AA07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563C76F" w14:textId="77777777" w:rsidR="00AA0749" w:rsidRDefault="00AA0749" w:rsidP="00AA074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44EC5411" w14:textId="0EA5F55A" w:rsidR="00871AB3" w:rsidRPr="00F535D0" w:rsidRDefault="00871AB3" w:rsidP="00AA074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35D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Umowa nr CRU/D</w:t>
            </w:r>
            <w:r w:rsidR="00AA074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F535D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3C7C0A" w:rsidRPr="00F535D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….</w:t>
            </w:r>
            <w:r w:rsidRPr="00F535D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…/202</w:t>
            </w:r>
            <w:r w:rsidR="000C5026" w:rsidRPr="00F535D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</w:t>
            </w:r>
          </w:p>
          <w:p w14:paraId="3961F94D" w14:textId="28B744E8" w:rsidR="00871AB3" w:rsidRPr="00F535D0" w:rsidRDefault="00871AB3" w:rsidP="00AA0749">
            <w:pPr>
              <w:spacing w:after="0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71AB3" w:rsidRPr="00F535D0" w14:paraId="491A771C" w14:textId="77777777" w:rsidTr="00871AB3">
        <w:trPr>
          <w:trHeight w:val="914"/>
          <w:jc w:val="center"/>
        </w:trPr>
        <w:tc>
          <w:tcPr>
            <w:tcW w:w="2457" w:type="dxa"/>
            <w:vMerge/>
            <w:shd w:val="clear" w:color="auto" w:fill="auto"/>
          </w:tcPr>
          <w:p w14:paraId="3A929FB6" w14:textId="77777777" w:rsidR="00871AB3" w:rsidRPr="00F535D0" w:rsidRDefault="00871AB3" w:rsidP="00AA0749">
            <w:pPr>
              <w:contextualSpacing/>
              <w:jc w:val="both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605" w:type="dxa"/>
            <w:gridSpan w:val="2"/>
            <w:shd w:val="clear" w:color="auto" w:fill="auto"/>
            <w:vAlign w:val="center"/>
          </w:tcPr>
          <w:p w14:paraId="2605D71F" w14:textId="77777777" w:rsidR="00871AB3" w:rsidRPr="00F535D0" w:rsidRDefault="00871AB3" w:rsidP="00D27AA7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578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przedmiotu zamówienia</w:t>
            </w:r>
          </w:p>
        </w:tc>
      </w:tr>
    </w:tbl>
    <w:p w14:paraId="5F010617" w14:textId="77777777" w:rsidR="00AA0749" w:rsidRDefault="00AA0749" w:rsidP="00AA074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A682D5" w14:textId="11CC2055" w:rsidR="00AA0749" w:rsidRPr="00566DEB" w:rsidRDefault="00AA0749" w:rsidP="00AA074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6DEB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14:paraId="60DD4096" w14:textId="08735AAF" w:rsidR="00AA0749" w:rsidRPr="00566DEB" w:rsidRDefault="00AA0749" w:rsidP="00AB6F5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6DEB">
        <w:rPr>
          <w:rFonts w:ascii="Arial" w:hAnsi="Arial" w:cs="Arial"/>
          <w:b/>
          <w:sz w:val="20"/>
          <w:szCs w:val="20"/>
        </w:rPr>
        <w:t xml:space="preserve">Sprzedaż energii elektrycznej do Punktu </w:t>
      </w:r>
      <w:proofErr w:type="spellStart"/>
      <w:r w:rsidRPr="00566DEB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566DEB">
        <w:rPr>
          <w:rFonts w:ascii="Arial" w:hAnsi="Arial" w:cs="Arial"/>
          <w:b/>
          <w:sz w:val="20"/>
          <w:szCs w:val="20"/>
        </w:rPr>
        <w:t xml:space="preserve"> – Eksploatacyjnego Spółki „Koleje Małopolskie” Sp. z o.o. zlokalizowanego przy ul. Doktora Twardego 6 w Krakowie </w:t>
      </w:r>
      <w:r w:rsidRPr="00566DEB">
        <w:rPr>
          <w:rFonts w:ascii="Arial" w:hAnsi="Arial" w:cs="Arial"/>
          <w:b/>
          <w:sz w:val="20"/>
          <w:szCs w:val="20"/>
        </w:rPr>
        <w:br/>
        <w:t>na okres 24-miesięcy od 01.01.2024 r. do 31.12.2025 r.</w:t>
      </w:r>
    </w:p>
    <w:p w14:paraId="2303B54D" w14:textId="77777777" w:rsidR="00AA0749" w:rsidRPr="00566DEB" w:rsidRDefault="00AA0749" w:rsidP="00AA07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4F19A5" w14:textId="46CED94E" w:rsidR="00AA0749" w:rsidRPr="00566DEB" w:rsidRDefault="00AA0749" w:rsidP="00AB6F5D">
      <w:pPr>
        <w:numPr>
          <w:ilvl w:val="0"/>
          <w:numId w:val="20"/>
        </w:numPr>
        <w:spacing w:after="4" w:line="251" w:lineRule="auto"/>
        <w:ind w:left="426" w:hanging="360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 xml:space="preserve">Przedmiotem zamówienia jest: dostawa energii elektrycznej dla spółki </w:t>
      </w:r>
      <w:r w:rsidRPr="00566DEB">
        <w:rPr>
          <w:rFonts w:ascii="Arial" w:hAnsi="Arial" w:cs="Arial"/>
          <w:b/>
          <w:sz w:val="20"/>
          <w:szCs w:val="20"/>
        </w:rPr>
        <w:t xml:space="preserve">„Koleje Małopolskie” </w:t>
      </w:r>
      <w:r w:rsidR="00AB6F5D">
        <w:rPr>
          <w:rFonts w:ascii="Arial" w:hAnsi="Arial" w:cs="Arial"/>
          <w:b/>
          <w:sz w:val="20"/>
          <w:szCs w:val="20"/>
        </w:rPr>
        <w:br/>
      </w:r>
      <w:r w:rsidRPr="00566DEB">
        <w:rPr>
          <w:rFonts w:ascii="Arial" w:hAnsi="Arial" w:cs="Arial"/>
          <w:b/>
          <w:sz w:val="20"/>
          <w:szCs w:val="20"/>
        </w:rPr>
        <w:t>Sp. z o.o.</w:t>
      </w:r>
      <w:r w:rsidRPr="00566DEB">
        <w:rPr>
          <w:rFonts w:ascii="Arial" w:hAnsi="Arial" w:cs="Arial"/>
          <w:sz w:val="20"/>
          <w:szCs w:val="20"/>
        </w:rPr>
        <w:t xml:space="preserve"> do przyłączy Zamawiającego na okres od 01.01.2024 r. do 31.12.2025 r., tj. na okres 24 miesięcy. </w:t>
      </w:r>
    </w:p>
    <w:p w14:paraId="5597C481" w14:textId="77777777" w:rsidR="00AA0749" w:rsidRPr="00566DEB" w:rsidRDefault="00AA0749" w:rsidP="00AA0749">
      <w:pPr>
        <w:numPr>
          <w:ilvl w:val="0"/>
          <w:numId w:val="20"/>
        </w:numPr>
        <w:spacing w:after="4" w:line="251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Dostawa odbywać się będzie na warunkach określonych przepisami ustawy z dnia 10 kwietnia 1997 r. Prawo energetyczne tj. z dnia 19 maja 2022 r. (</w:t>
      </w:r>
      <w:bookmarkStart w:id="0" w:name="_Hlk148090817"/>
      <w:bookmarkStart w:id="1" w:name="_GoBack"/>
      <w:r w:rsidRPr="00566DEB">
        <w:rPr>
          <w:rFonts w:ascii="Arial" w:hAnsi="Arial" w:cs="Arial"/>
          <w:sz w:val="20"/>
          <w:szCs w:val="20"/>
        </w:rPr>
        <w:t>Dz.U. z 2022 r. poz. 1385</w:t>
      </w:r>
      <w:bookmarkEnd w:id="0"/>
      <w:bookmarkEnd w:id="1"/>
      <w:r w:rsidRPr="00566DEB">
        <w:rPr>
          <w:rFonts w:ascii="Arial" w:hAnsi="Arial" w:cs="Arial"/>
          <w:sz w:val="20"/>
          <w:szCs w:val="20"/>
        </w:rPr>
        <w:t xml:space="preserve">), zwanej dalej Prawem energetycznym, wydanych na jej podstawie obowiązujących rozporządzeń, zgodnie </w:t>
      </w:r>
      <w:r w:rsidRPr="00566DEB">
        <w:rPr>
          <w:rFonts w:ascii="Arial" w:hAnsi="Arial" w:cs="Arial"/>
          <w:sz w:val="20"/>
          <w:szCs w:val="20"/>
        </w:rPr>
        <w:br/>
        <w:t xml:space="preserve">z zasadami określonymi w koncesjach, postanowieniach Umowy dostawcy. </w:t>
      </w:r>
    </w:p>
    <w:p w14:paraId="3A5A627A" w14:textId="77777777" w:rsidR="00AA0749" w:rsidRPr="00566DEB" w:rsidRDefault="00AA0749" w:rsidP="00AA0749">
      <w:pPr>
        <w:numPr>
          <w:ilvl w:val="0"/>
          <w:numId w:val="20"/>
        </w:numPr>
        <w:spacing w:after="4" w:line="251" w:lineRule="auto"/>
        <w:ind w:hanging="367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Standardy jakościowe dotyczące przedmiotu zamówienia zawarte zostały w Rozporządzeniu Ministra Klimatu i Środowiska w sprawie szczegółowych warunków funkcjonowania systemu elektroenergetycznego z dnia 22 marca 2023 r. (Dz.U. z 2023 r. poz. 819).</w:t>
      </w:r>
    </w:p>
    <w:p w14:paraId="3880C574" w14:textId="77777777" w:rsidR="00AA0749" w:rsidRPr="00AA0749" w:rsidRDefault="00AA0749" w:rsidP="00AA0749">
      <w:pPr>
        <w:numPr>
          <w:ilvl w:val="0"/>
          <w:numId w:val="20"/>
        </w:numPr>
        <w:spacing w:after="4" w:line="251" w:lineRule="auto"/>
        <w:ind w:hanging="367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 xml:space="preserve">Ilość energii elektrycznej jest szacunkowym zapotrzebowaniem Zamawiającego i wynosi łącznie: </w:t>
      </w:r>
      <w:r w:rsidRPr="00AA0749">
        <w:rPr>
          <w:rFonts w:ascii="Arial" w:hAnsi="Arial" w:cs="Arial"/>
          <w:sz w:val="20"/>
          <w:szCs w:val="20"/>
        </w:rPr>
        <w:t>720 000 kWh (720 MWh).</w:t>
      </w:r>
    </w:p>
    <w:p w14:paraId="3F23B288" w14:textId="77777777" w:rsidR="00AA0749" w:rsidRPr="00566DEB" w:rsidRDefault="00AA0749" w:rsidP="00AA0749">
      <w:pPr>
        <w:numPr>
          <w:ilvl w:val="0"/>
          <w:numId w:val="20"/>
        </w:numPr>
        <w:spacing w:after="4" w:line="251" w:lineRule="auto"/>
        <w:ind w:hanging="367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Przewidywana do dostarczenia ilość energii w okresie trwania umowy w grupach taryfowych:</w:t>
      </w:r>
    </w:p>
    <w:p w14:paraId="5784D882" w14:textId="77777777" w:rsidR="00AA0749" w:rsidRPr="00566DEB" w:rsidRDefault="00AA0749" w:rsidP="00AA0749">
      <w:pPr>
        <w:spacing w:after="4" w:line="251" w:lineRule="auto"/>
        <w:ind w:left="3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46" w:type="dxa"/>
        <w:tblInd w:w="423" w:type="dxa"/>
        <w:tblCellMar>
          <w:left w:w="132" w:type="dxa"/>
          <w:right w:w="120" w:type="dxa"/>
        </w:tblCellMar>
        <w:tblLook w:val="04A0" w:firstRow="1" w:lastRow="0" w:firstColumn="1" w:lastColumn="0" w:noHBand="0" w:noVBand="1"/>
      </w:tblPr>
      <w:tblGrid>
        <w:gridCol w:w="587"/>
        <w:gridCol w:w="1167"/>
        <w:gridCol w:w="3349"/>
        <w:gridCol w:w="3543"/>
      </w:tblGrid>
      <w:tr w:rsidR="00AA0749" w:rsidRPr="00566DEB" w14:paraId="44040124" w14:textId="77777777" w:rsidTr="00542098">
        <w:trPr>
          <w:trHeight w:val="965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2C98C" w14:textId="77777777" w:rsidR="00AA0749" w:rsidRPr="00566DEB" w:rsidRDefault="00AA0749" w:rsidP="00542098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BCED" w14:textId="77777777" w:rsidR="00AA0749" w:rsidRPr="00566DEB" w:rsidRDefault="00AA0749" w:rsidP="00542098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Taryfa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EAB5D" w14:textId="77777777" w:rsidR="00AA0749" w:rsidRPr="00566DEB" w:rsidRDefault="00AA0749" w:rsidP="00542098">
            <w:pPr>
              <w:ind w:left="86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Szacowane zużycie energii </w:t>
            </w:r>
            <w:r w:rsidRPr="00566DEB">
              <w:rPr>
                <w:rFonts w:ascii="Arial" w:hAnsi="Arial" w:cs="Arial"/>
                <w:sz w:val="20"/>
                <w:szCs w:val="20"/>
              </w:rPr>
              <w:br/>
              <w:t>w okresie umowy w strefie I [MWh]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0CB67" w14:textId="77777777" w:rsidR="00AA0749" w:rsidRPr="00566DEB" w:rsidRDefault="00AA0749" w:rsidP="00542098">
            <w:pPr>
              <w:spacing w:after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Szacowane zużycie energii </w:t>
            </w:r>
            <w:r w:rsidRPr="00566DEB">
              <w:rPr>
                <w:rFonts w:ascii="Arial" w:hAnsi="Arial" w:cs="Arial"/>
                <w:sz w:val="20"/>
                <w:szCs w:val="20"/>
              </w:rPr>
              <w:br/>
              <w:t xml:space="preserve"> w okresie umowy w strefie Il </w:t>
            </w:r>
          </w:p>
          <w:p w14:paraId="37A8063C" w14:textId="77777777" w:rsidR="00AA0749" w:rsidRPr="00566DEB" w:rsidRDefault="00AA0749" w:rsidP="00542098">
            <w:pPr>
              <w:spacing w:after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[MWh]</w:t>
            </w:r>
          </w:p>
        </w:tc>
      </w:tr>
      <w:tr w:rsidR="00AA0749" w:rsidRPr="00566DEB" w14:paraId="090B3286" w14:textId="77777777" w:rsidTr="00542098">
        <w:trPr>
          <w:trHeight w:val="328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C97A5" w14:textId="0FC23871" w:rsidR="00AA0749" w:rsidRPr="00566DEB" w:rsidRDefault="00AA0749" w:rsidP="00AA0749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27F6A" w14:textId="77777777" w:rsidR="00AA0749" w:rsidRPr="00566DEB" w:rsidRDefault="00AA0749" w:rsidP="0054209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>C22a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EE39E" w14:textId="77777777" w:rsidR="00AA0749" w:rsidRPr="00566DEB" w:rsidRDefault="00AA0749" w:rsidP="00542098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Szczyt             144 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F03A3" w14:textId="77777777" w:rsidR="00AA0749" w:rsidRPr="00566DEB" w:rsidRDefault="00AA0749" w:rsidP="00542098">
            <w:pPr>
              <w:rPr>
                <w:rFonts w:ascii="Arial" w:hAnsi="Arial" w:cs="Arial"/>
                <w:sz w:val="20"/>
                <w:szCs w:val="20"/>
              </w:rPr>
            </w:pPr>
            <w:r w:rsidRPr="00566DEB">
              <w:rPr>
                <w:rFonts w:ascii="Arial" w:hAnsi="Arial" w:cs="Arial"/>
                <w:sz w:val="20"/>
                <w:szCs w:val="20"/>
              </w:rPr>
              <w:t xml:space="preserve">Poza                     576 </w:t>
            </w:r>
          </w:p>
        </w:tc>
      </w:tr>
    </w:tbl>
    <w:p w14:paraId="0D9DFBE6" w14:textId="77777777" w:rsidR="00AA0749" w:rsidRPr="00566DEB" w:rsidRDefault="00AA0749" w:rsidP="00AA0749">
      <w:pPr>
        <w:spacing w:after="0" w:line="276" w:lineRule="auto"/>
        <w:ind w:left="355"/>
        <w:jc w:val="both"/>
        <w:rPr>
          <w:rFonts w:ascii="Arial" w:hAnsi="Arial" w:cs="Arial"/>
          <w:sz w:val="20"/>
          <w:szCs w:val="20"/>
        </w:rPr>
      </w:pPr>
    </w:p>
    <w:p w14:paraId="0FF52EE1" w14:textId="11B9E163" w:rsidR="006A6AC1" w:rsidRPr="00DD0F60" w:rsidRDefault="00AB6F5D" w:rsidP="00AB6F5D">
      <w:pPr>
        <w:suppressAutoHyphens/>
        <w:spacing w:after="0" w:line="276" w:lineRule="auto"/>
        <w:ind w:left="284" w:right="38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6A6AC1" w:rsidRPr="00DD0F60">
        <w:rPr>
          <w:rFonts w:ascii="Arial" w:hAnsi="Arial" w:cs="Arial"/>
          <w:spacing w:val="4"/>
          <w:sz w:val="20"/>
          <w:szCs w:val="20"/>
        </w:rPr>
        <w:t xml:space="preserve">Zwiększenie punktów poboru lub zmiana grupy taryfowej możliwe jest jedynie w obrębie grup </w:t>
      </w:r>
      <w:r>
        <w:rPr>
          <w:rFonts w:ascii="Arial" w:hAnsi="Arial" w:cs="Arial"/>
          <w:spacing w:val="4"/>
          <w:sz w:val="20"/>
          <w:szCs w:val="20"/>
        </w:rPr>
        <w:t xml:space="preserve">  </w:t>
      </w:r>
      <w:r>
        <w:rPr>
          <w:rFonts w:ascii="Arial" w:hAnsi="Arial" w:cs="Arial"/>
          <w:spacing w:val="4"/>
          <w:sz w:val="20"/>
          <w:szCs w:val="20"/>
        </w:rPr>
        <w:br/>
        <w:t xml:space="preserve"> </w:t>
      </w:r>
      <w:r w:rsidR="006A6AC1" w:rsidRPr="00DD0F60">
        <w:rPr>
          <w:rFonts w:ascii="Arial" w:hAnsi="Arial" w:cs="Arial"/>
          <w:spacing w:val="4"/>
          <w:sz w:val="20"/>
          <w:szCs w:val="20"/>
        </w:rPr>
        <w:t>taryfowych, wymienionych w OPZ oraz wycenionych w Formularzu Ofertowym Wykonawcy.</w:t>
      </w:r>
    </w:p>
    <w:p w14:paraId="1638FC12" w14:textId="77777777" w:rsidR="00AA0749" w:rsidRPr="00566DEB" w:rsidRDefault="00AA0749" w:rsidP="00AA0749">
      <w:pPr>
        <w:spacing w:after="0" w:line="276" w:lineRule="auto"/>
        <w:ind w:left="355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 xml:space="preserve">Wskazana ilość energii elektrycznej nie stanowi zobowiązania Zamawiającego do jej zużycia </w:t>
      </w:r>
      <w:r w:rsidRPr="00566DEB">
        <w:rPr>
          <w:rFonts w:ascii="Arial" w:hAnsi="Arial" w:cs="Arial"/>
          <w:sz w:val="20"/>
          <w:szCs w:val="20"/>
        </w:rPr>
        <w:br/>
        <w:t>i zakupu. Wykorzystanie energii elektrycznej na niższym poziomie nie może stanowić podstawy do zgłaszania jakichkolwiek roszczeń.</w:t>
      </w:r>
    </w:p>
    <w:p w14:paraId="232AF0BF" w14:textId="07C2FD30" w:rsidR="00AA0749" w:rsidRPr="00566DEB" w:rsidRDefault="00AA0749" w:rsidP="00AA0749">
      <w:pPr>
        <w:numPr>
          <w:ilvl w:val="0"/>
          <w:numId w:val="20"/>
        </w:numPr>
        <w:spacing w:after="32" w:line="251" w:lineRule="auto"/>
        <w:ind w:hanging="367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 xml:space="preserve">Wykonawca </w:t>
      </w:r>
      <w:r w:rsidR="008F1325">
        <w:rPr>
          <w:rFonts w:ascii="Arial" w:hAnsi="Arial" w:cs="Arial"/>
          <w:sz w:val="20"/>
          <w:szCs w:val="20"/>
        </w:rPr>
        <w:t xml:space="preserve">w razie potrzeby, </w:t>
      </w:r>
      <w:r w:rsidRPr="00566DEB">
        <w:rPr>
          <w:rFonts w:ascii="Arial" w:hAnsi="Arial" w:cs="Arial"/>
          <w:sz w:val="20"/>
          <w:szCs w:val="20"/>
        </w:rPr>
        <w:t>będzie zobowiązany do reprezentowania Zamawiającego przed Operatorem Systemu Dystrybucyjnego w sprawach związanych ze zmianą sprzedawcy energii elektrycznej.</w:t>
      </w:r>
    </w:p>
    <w:p w14:paraId="416282D3" w14:textId="77777777" w:rsidR="00AA0749" w:rsidRPr="00566DEB" w:rsidRDefault="00AA0749" w:rsidP="00AA0749">
      <w:pPr>
        <w:numPr>
          <w:ilvl w:val="0"/>
          <w:numId w:val="20"/>
        </w:numPr>
        <w:spacing w:after="4" w:line="251" w:lineRule="auto"/>
        <w:ind w:hanging="367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Wykonawca zobowiązany będzie ponadto do:</w:t>
      </w:r>
    </w:p>
    <w:p w14:paraId="7B41BA05" w14:textId="77777777" w:rsidR="00AA0749" w:rsidRPr="00566DEB" w:rsidRDefault="00AA0749" w:rsidP="00AA0749">
      <w:pPr>
        <w:spacing w:after="4" w:line="251" w:lineRule="auto"/>
        <w:ind w:left="367" w:firstLine="342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eastAsia="Microsoft JhengHei" w:hAnsi="Arial" w:cs="Arial"/>
          <w:sz w:val="20"/>
          <w:szCs w:val="20"/>
        </w:rPr>
        <w:t>1) Sprzedaży energii elektrycznej z zachowaniem obowiązujących standardów</w:t>
      </w:r>
      <w:r w:rsidRPr="00566DEB">
        <w:rPr>
          <w:rFonts w:ascii="Arial" w:hAnsi="Arial" w:cs="Arial"/>
          <w:sz w:val="20"/>
          <w:szCs w:val="20"/>
        </w:rPr>
        <w:t xml:space="preserve"> jakościowych,</w:t>
      </w:r>
    </w:p>
    <w:p w14:paraId="238A406A" w14:textId="77777777" w:rsidR="00AA0749" w:rsidRPr="00566DEB" w:rsidRDefault="00AA0749" w:rsidP="00AA0749">
      <w:pPr>
        <w:numPr>
          <w:ilvl w:val="0"/>
          <w:numId w:val="21"/>
        </w:numPr>
        <w:spacing w:after="0" w:line="251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Przyjmowania od Zamawiającego, w uzgodnionym czasie, zgłoszeń i reklamacji, dotyczących dostarczenia energii elektrycznej;</w:t>
      </w:r>
    </w:p>
    <w:p w14:paraId="09D5D9E2" w14:textId="77777777" w:rsidR="00AA0749" w:rsidRPr="00566DEB" w:rsidRDefault="00AA0749" w:rsidP="00AA0749">
      <w:pPr>
        <w:numPr>
          <w:ilvl w:val="0"/>
          <w:numId w:val="21"/>
        </w:numPr>
        <w:spacing w:after="4" w:line="251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Udostępniania informacji o danych pomiarowo-rozliczeniowych energii elektrycznej pobranej przez Zamawiającego w poszczególnych PPE otrzymanych od OSD;</w:t>
      </w:r>
    </w:p>
    <w:p w14:paraId="6C146F7E" w14:textId="77777777" w:rsidR="00AA0749" w:rsidRPr="00566DEB" w:rsidRDefault="00AA0749" w:rsidP="00AA0749">
      <w:pPr>
        <w:numPr>
          <w:ilvl w:val="0"/>
          <w:numId w:val="21"/>
        </w:numPr>
        <w:spacing w:after="4" w:line="251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Pełnienia funkcji podmiotu odpowiedzialnego za bilansowanie handlowe w zakresie sprzedaży energii elektrycznej sprzedawanej w ramach tej umowy;</w:t>
      </w:r>
    </w:p>
    <w:p w14:paraId="67061E0C" w14:textId="256CB901" w:rsidR="00AA0749" w:rsidRPr="00566DEB" w:rsidRDefault="006A6AC1" w:rsidP="00AA0749">
      <w:pPr>
        <w:numPr>
          <w:ilvl w:val="0"/>
          <w:numId w:val="21"/>
        </w:numPr>
        <w:spacing w:after="4" w:line="251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r w:rsidRPr="006A6AC1">
        <w:rPr>
          <w:rFonts w:ascii="Arial" w:hAnsi="Arial" w:cs="Arial"/>
          <w:sz w:val="20"/>
          <w:szCs w:val="20"/>
        </w:rPr>
        <w:t xml:space="preserve">sprzedaży energii elektrycznej w cenach ofertowych do nowych PPE dla wskazanego </w:t>
      </w:r>
      <w:r>
        <w:rPr>
          <w:rFonts w:ascii="Arial" w:hAnsi="Arial" w:cs="Arial"/>
          <w:sz w:val="20"/>
          <w:szCs w:val="20"/>
        </w:rPr>
        <w:br/>
      </w:r>
      <w:r w:rsidRPr="006A6AC1">
        <w:rPr>
          <w:rFonts w:ascii="Arial" w:hAnsi="Arial" w:cs="Arial"/>
          <w:sz w:val="20"/>
          <w:szCs w:val="20"/>
        </w:rPr>
        <w:t>w Umowie obiekt</w:t>
      </w:r>
      <w:r>
        <w:rPr>
          <w:rFonts w:ascii="Arial" w:hAnsi="Arial" w:cs="Arial"/>
          <w:sz w:val="20"/>
          <w:szCs w:val="20"/>
        </w:rPr>
        <w:t>u</w:t>
      </w:r>
      <w:r w:rsidRPr="006A6AC1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>.</w:t>
      </w:r>
    </w:p>
    <w:p w14:paraId="70BB9423" w14:textId="77777777" w:rsidR="00AA0749" w:rsidRPr="00566DEB" w:rsidRDefault="00AA0749" w:rsidP="00AA0749">
      <w:pPr>
        <w:pStyle w:val="Akapitzlist"/>
        <w:numPr>
          <w:ilvl w:val="0"/>
          <w:numId w:val="20"/>
        </w:numPr>
        <w:spacing w:after="4" w:line="251" w:lineRule="auto"/>
        <w:ind w:hanging="367"/>
        <w:jc w:val="both"/>
        <w:rPr>
          <w:rFonts w:ascii="Arial" w:hAnsi="Arial" w:cs="Arial"/>
          <w:sz w:val="20"/>
          <w:szCs w:val="20"/>
        </w:rPr>
      </w:pPr>
      <w:r w:rsidRPr="00566DEB">
        <w:rPr>
          <w:rFonts w:ascii="Arial" w:hAnsi="Arial" w:cs="Arial"/>
          <w:sz w:val="20"/>
          <w:szCs w:val="20"/>
        </w:rPr>
        <w:t>Warunki realizacji zamówienia:</w:t>
      </w:r>
    </w:p>
    <w:p w14:paraId="672F047D" w14:textId="77777777" w:rsidR="00AA0749" w:rsidRPr="00566DEB" w:rsidRDefault="00AA0749" w:rsidP="00AA0749">
      <w:pPr>
        <w:spacing w:after="0" w:line="276" w:lineRule="auto"/>
        <w:ind w:left="355"/>
        <w:jc w:val="both"/>
        <w:rPr>
          <w:rFonts w:ascii="Arial" w:hAnsi="Arial" w:cs="Arial"/>
          <w:sz w:val="20"/>
          <w:szCs w:val="20"/>
        </w:rPr>
      </w:pPr>
      <w:bookmarkStart w:id="2" w:name="_Hlk148296014"/>
      <w:r w:rsidRPr="00566DEB">
        <w:rPr>
          <w:rFonts w:ascii="Arial" w:hAnsi="Arial" w:cs="Arial"/>
          <w:sz w:val="20"/>
          <w:szCs w:val="20"/>
        </w:rPr>
        <w:t xml:space="preserve">Warunki realizacji zamówienia są zawarte w </w:t>
      </w:r>
      <w:bookmarkStart w:id="3" w:name="_Hlk147484152"/>
      <w:r w:rsidRPr="00566DEB">
        <w:rPr>
          <w:rFonts w:ascii="Arial" w:hAnsi="Arial" w:cs="Arial"/>
          <w:sz w:val="20"/>
          <w:szCs w:val="20"/>
        </w:rPr>
        <w:t>Istotnych postanowieniach umowy</w:t>
      </w:r>
      <w:bookmarkEnd w:id="3"/>
      <w:r w:rsidRPr="00566DEB">
        <w:rPr>
          <w:rFonts w:ascii="Arial" w:hAnsi="Arial" w:cs="Arial"/>
          <w:sz w:val="20"/>
          <w:szCs w:val="20"/>
        </w:rPr>
        <w:t xml:space="preserve"> stanowiących załącznik nr 5 do SWZ. Zamawiający dopuszcza możliwość zawarcia umowy na wzorach stosowanych przez Wykonawcę, z zastrzeżeniem ujęcia warunków zawartych w Istotnych </w:t>
      </w:r>
      <w:r w:rsidRPr="00566DEB">
        <w:rPr>
          <w:rFonts w:ascii="Arial" w:hAnsi="Arial" w:cs="Arial"/>
          <w:sz w:val="20"/>
          <w:szCs w:val="20"/>
        </w:rPr>
        <w:lastRenderedPageBreak/>
        <w:t>postanowieniach umowy Zamawiającego. W razie sprzeczności z zapisami wzorów umów stosowanych przez Wykonawców pierwszeństwo mają zapisy Istotnych postanowień umowy Zamawiającego.</w:t>
      </w:r>
    </w:p>
    <w:bookmarkEnd w:id="2"/>
    <w:p w14:paraId="05F641D2" w14:textId="77777777" w:rsidR="00FB7059" w:rsidRDefault="002E6576"/>
    <w:sectPr w:rsidR="00FB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676"/>
    <w:multiLevelType w:val="hybridMultilevel"/>
    <w:tmpl w:val="FC641184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18C4D88"/>
    <w:multiLevelType w:val="hybridMultilevel"/>
    <w:tmpl w:val="191219B2"/>
    <w:lvl w:ilvl="0" w:tplc="131C77D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5B0835"/>
    <w:multiLevelType w:val="multilevel"/>
    <w:tmpl w:val="028E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B53CE"/>
    <w:multiLevelType w:val="hybridMultilevel"/>
    <w:tmpl w:val="811A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2FCC"/>
    <w:multiLevelType w:val="multilevel"/>
    <w:tmpl w:val="C4403DB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512DA8"/>
    <w:multiLevelType w:val="multilevel"/>
    <w:tmpl w:val="55C24EA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1000" w:hanging="432"/>
      </w:pPr>
      <w:rPr>
        <w:rFonts w:ascii="Calibri" w:hAnsi="Calibri" w:cs="Calibri" w:hint="default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2A2B4A"/>
    <w:multiLevelType w:val="hybridMultilevel"/>
    <w:tmpl w:val="50BA69AA"/>
    <w:lvl w:ilvl="0" w:tplc="383E2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CCD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8D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A0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AB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8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EE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E9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06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B0356"/>
    <w:multiLevelType w:val="hybridMultilevel"/>
    <w:tmpl w:val="72C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7577547"/>
    <w:multiLevelType w:val="hybridMultilevel"/>
    <w:tmpl w:val="2B12CCF6"/>
    <w:lvl w:ilvl="0" w:tplc="B6267EDC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8C24A28"/>
    <w:multiLevelType w:val="hybridMultilevel"/>
    <w:tmpl w:val="38AED624"/>
    <w:lvl w:ilvl="0" w:tplc="3EACD8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B367EA1"/>
    <w:multiLevelType w:val="hybridMultilevel"/>
    <w:tmpl w:val="EF4A7F98"/>
    <w:lvl w:ilvl="0" w:tplc="7672985E">
      <w:start w:val="2"/>
      <w:numFmt w:val="decimal"/>
      <w:lvlText w:val="%1)"/>
      <w:lvlJc w:val="left"/>
      <w:pPr>
        <w:ind w:left="712"/>
      </w:pPr>
      <w:rPr>
        <w:rFonts w:ascii="Arial" w:eastAsia="Microsoft JhengHe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DA0016">
      <w:start w:val="1"/>
      <w:numFmt w:val="lowerLetter"/>
      <w:lvlText w:val="%2"/>
      <w:lvlJc w:val="left"/>
      <w:pPr>
        <w:ind w:left="144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76789C">
      <w:start w:val="1"/>
      <w:numFmt w:val="lowerRoman"/>
      <w:lvlText w:val="%3"/>
      <w:lvlJc w:val="left"/>
      <w:pPr>
        <w:ind w:left="216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F46B36">
      <w:start w:val="1"/>
      <w:numFmt w:val="decimal"/>
      <w:lvlText w:val="%4"/>
      <w:lvlJc w:val="left"/>
      <w:pPr>
        <w:ind w:left="288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A2A50">
      <w:start w:val="1"/>
      <w:numFmt w:val="lowerLetter"/>
      <w:lvlText w:val="%5"/>
      <w:lvlJc w:val="left"/>
      <w:pPr>
        <w:ind w:left="360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DAC9D8">
      <w:start w:val="1"/>
      <w:numFmt w:val="lowerRoman"/>
      <w:lvlText w:val="%6"/>
      <w:lvlJc w:val="left"/>
      <w:pPr>
        <w:ind w:left="432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128B7A">
      <w:start w:val="1"/>
      <w:numFmt w:val="decimal"/>
      <w:lvlText w:val="%7"/>
      <w:lvlJc w:val="left"/>
      <w:pPr>
        <w:ind w:left="504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309110">
      <w:start w:val="1"/>
      <w:numFmt w:val="lowerLetter"/>
      <w:lvlText w:val="%8"/>
      <w:lvlJc w:val="left"/>
      <w:pPr>
        <w:ind w:left="576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CEDDDE">
      <w:start w:val="1"/>
      <w:numFmt w:val="lowerRoman"/>
      <w:lvlText w:val="%9"/>
      <w:lvlJc w:val="left"/>
      <w:pPr>
        <w:ind w:left="648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AC73AD"/>
    <w:multiLevelType w:val="multilevel"/>
    <w:tmpl w:val="F318A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3" w15:restartNumberingAfterBreak="0">
    <w:nsid w:val="6025409D"/>
    <w:multiLevelType w:val="hybridMultilevel"/>
    <w:tmpl w:val="1D1AB9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270C"/>
    <w:multiLevelType w:val="hybridMultilevel"/>
    <w:tmpl w:val="4CA6107A"/>
    <w:lvl w:ilvl="0" w:tplc="57BC2908">
      <w:start w:val="1"/>
      <w:numFmt w:val="decimal"/>
      <w:lvlText w:val="%1."/>
      <w:lvlJc w:val="left"/>
      <w:pPr>
        <w:ind w:left="3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E950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AEE97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120F3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0CFEA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4A932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5667F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84667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A5D0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9"/>
    <w:lvlOverride w:ilvl="0">
      <w:startOverride w:val="1"/>
    </w:lvlOverride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  <w:num w:numId="18">
    <w:abstractNumId w:val="8"/>
  </w:num>
  <w:num w:numId="19">
    <w:abstractNumId w:val="5"/>
  </w:num>
  <w:num w:numId="20">
    <w:abstractNumId w:val="15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8F"/>
    <w:rsid w:val="000274B1"/>
    <w:rsid w:val="0004565E"/>
    <w:rsid w:val="00077CB1"/>
    <w:rsid w:val="00083883"/>
    <w:rsid w:val="000A24A6"/>
    <w:rsid w:val="000B7717"/>
    <w:rsid w:val="000C5026"/>
    <w:rsid w:val="000C5BD5"/>
    <w:rsid w:val="000F6266"/>
    <w:rsid w:val="00113C8C"/>
    <w:rsid w:val="0011679E"/>
    <w:rsid w:val="00174D44"/>
    <w:rsid w:val="001E7FD5"/>
    <w:rsid w:val="001F622E"/>
    <w:rsid w:val="0024161B"/>
    <w:rsid w:val="00257D15"/>
    <w:rsid w:val="0028098E"/>
    <w:rsid w:val="002C21B9"/>
    <w:rsid w:val="002E6576"/>
    <w:rsid w:val="0031232C"/>
    <w:rsid w:val="0036163E"/>
    <w:rsid w:val="003C0543"/>
    <w:rsid w:val="003C7C0A"/>
    <w:rsid w:val="00433FE1"/>
    <w:rsid w:val="00447624"/>
    <w:rsid w:val="004960BB"/>
    <w:rsid w:val="004B66C3"/>
    <w:rsid w:val="005512F9"/>
    <w:rsid w:val="00560A0D"/>
    <w:rsid w:val="0059036C"/>
    <w:rsid w:val="005F3B25"/>
    <w:rsid w:val="005F3E44"/>
    <w:rsid w:val="006167EE"/>
    <w:rsid w:val="00635DA8"/>
    <w:rsid w:val="00655066"/>
    <w:rsid w:val="0066392C"/>
    <w:rsid w:val="006A6AC1"/>
    <w:rsid w:val="006D4CA6"/>
    <w:rsid w:val="006E618C"/>
    <w:rsid w:val="0070098F"/>
    <w:rsid w:val="00712E90"/>
    <w:rsid w:val="00716BF8"/>
    <w:rsid w:val="00745D6D"/>
    <w:rsid w:val="007834B1"/>
    <w:rsid w:val="00786493"/>
    <w:rsid w:val="007968A0"/>
    <w:rsid w:val="007D0810"/>
    <w:rsid w:val="007D2411"/>
    <w:rsid w:val="008338D9"/>
    <w:rsid w:val="00871AB3"/>
    <w:rsid w:val="0089645E"/>
    <w:rsid w:val="008E5647"/>
    <w:rsid w:val="008F1325"/>
    <w:rsid w:val="009334C8"/>
    <w:rsid w:val="009504AE"/>
    <w:rsid w:val="00953FA0"/>
    <w:rsid w:val="0095784E"/>
    <w:rsid w:val="0096752C"/>
    <w:rsid w:val="009778D9"/>
    <w:rsid w:val="00982E6C"/>
    <w:rsid w:val="009B3DF9"/>
    <w:rsid w:val="009C0A48"/>
    <w:rsid w:val="009C0FA6"/>
    <w:rsid w:val="009C6CC0"/>
    <w:rsid w:val="009D1AA4"/>
    <w:rsid w:val="009E7DA4"/>
    <w:rsid w:val="00A956B1"/>
    <w:rsid w:val="00AA0749"/>
    <w:rsid w:val="00AB63C3"/>
    <w:rsid w:val="00AB6F5D"/>
    <w:rsid w:val="00AC1C3B"/>
    <w:rsid w:val="00AF1361"/>
    <w:rsid w:val="00B552F6"/>
    <w:rsid w:val="00B868BF"/>
    <w:rsid w:val="00B96245"/>
    <w:rsid w:val="00BA5C04"/>
    <w:rsid w:val="00BA65F8"/>
    <w:rsid w:val="00BA690F"/>
    <w:rsid w:val="00BC13FC"/>
    <w:rsid w:val="00C01BAA"/>
    <w:rsid w:val="00C04F47"/>
    <w:rsid w:val="00C10F63"/>
    <w:rsid w:val="00C27AD4"/>
    <w:rsid w:val="00C417D5"/>
    <w:rsid w:val="00C435A6"/>
    <w:rsid w:val="00C46CE3"/>
    <w:rsid w:val="00CF1F28"/>
    <w:rsid w:val="00D27AA7"/>
    <w:rsid w:val="00D30B36"/>
    <w:rsid w:val="00D47AAD"/>
    <w:rsid w:val="00D67223"/>
    <w:rsid w:val="00DB16C8"/>
    <w:rsid w:val="00DC6923"/>
    <w:rsid w:val="00DD562A"/>
    <w:rsid w:val="00E168F8"/>
    <w:rsid w:val="00E94E31"/>
    <w:rsid w:val="00ED04F5"/>
    <w:rsid w:val="00EE6400"/>
    <w:rsid w:val="00F0465E"/>
    <w:rsid w:val="00F10178"/>
    <w:rsid w:val="00F535D0"/>
    <w:rsid w:val="00F922D8"/>
    <w:rsid w:val="00FC3804"/>
    <w:rsid w:val="00FD1DB7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14BD"/>
  <w15:chartTrackingRefBased/>
  <w15:docId w15:val="{5B454455-6304-46A0-8B5B-543AE64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223"/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67223"/>
    <w:pPr>
      <w:numPr>
        <w:numId w:val="1"/>
      </w:numPr>
      <w:tabs>
        <w:tab w:val="num" w:pos="360"/>
      </w:tabs>
      <w:spacing w:after="0"/>
      <w:ind w:left="720" w:firstLine="0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67223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D67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535D0"/>
    <w:pPr>
      <w:keepNext/>
      <w:keepLines/>
      <w:spacing w:before="240" w:after="120" w:line="274" w:lineRule="auto"/>
      <w:ind w:left="864" w:hanging="864"/>
      <w:jc w:val="both"/>
      <w:outlineLvl w:val="3"/>
    </w:pPr>
    <w:rPr>
      <w:rFonts w:eastAsiaTheme="majorEastAsia" w:cstheme="majorBidi"/>
      <w:b/>
      <w:bCs/>
      <w:iCs/>
      <w:color w:val="5B9BD5" w:themeColor="accent1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F535D0"/>
    <w:pPr>
      <w:keepNext/>
      <w:keepLines/>
      <w:spacing w:before="200" w:after="0" w:line="274" w:lineRule="auto"/>
      <w:ind w:left="1008" w:hanging="1008"/>
      <w:jc w:val="both"/>
      <w:outlineLvl w:val="4"/>
    </w:pPr>
    <w:rPr>
      <w:rFonts w:eastAsiaTheme="majorEastAsia" w:cstheme="majorBidi"/>
      <w:color w:val="0070C0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F535D0"/>
    <w:pPr>
      <w:keepNext/>
      <w:keepLines/>
      <w:spacing w:before="200" w:after="0" w:line="274" w:lineRule="auto"/>
      <w:ind w:left="1152" w:hanging="1152"/>
      <w:jc w:val="both"/>
      <w:outlineLvl w:val="5"/>
    </w:pPr>
    <w:rPr>
      <w:rFonts w:eastAsiaTheme="majorEastAsia" w:cstheme="majorBidi"/>
      <w:iCs/>
      <w:color w:val="5B9BD5" w:themeColor="accent1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F535D0"/>
    <w:pPr>
      <w:keepNext/>
      <w:keepLines/>
      <w:spacing w:before="200" w:after="0" w:line="274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nhideWhenUsed/>
    <w:qFormat/>
    <w:rsid w:val="00F535D0"/>
    <w:pPr>
      <w:keepNext/>
      <w:keepLines/>
      <w:spacing w:before="200" w:after="0" w:line="274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F535D0"/>
    <w:pPr>
      <w:keepNext/>
      <w:keepLines/>
      <w:spacing w:before="200" w:after="0" w:line="274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223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D67223"/>
    <w:rPr>
      <w:rFonts w:ascii="Calibri" w:eastAsia="Calibri" w:hAnsi="Calibri" w:cs="Times New Roman"/>
    </w:rPr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D6722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6722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722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link w:val="Akapitzlist"/>
    <w:uiPriority w:val="34"/>
    <w:locked/>
    <w:rsid w:val="00D6722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7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5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6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647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A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F535D0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F535D0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F535D0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F535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F535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F535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customStyle="1" w:styleId="TableGrid">
    <w:name w:val="TableGrid"/>
    <w:rsid w:val="00AA074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76F5-B4F6-4027-A478-84F7D67D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kryt</dc:creator>
  <cp:keywords/>
  <dc:description/>
  <cp:lastModifiedBy>Anna Buczak</cp:lastModifiedBy>
  <cp:revision>11</cp:revision>
  <dcterms:created xsi:type="dcterms:W3CDTF">2023-10-03T07:20:00Z</dcterms:created>
  <dcterms:modified xsi:type="dcterms:W3CDTF">2023-10-15T19:38:00Z</dcterms:modified>
</cp:coreProperties>
</file>