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4F" w:rsidRPr="009D3CCE" w:rsidRDefault="0064406C" w:rsidP="009D3CCE">
      <w:pPr>
        <w:spacing w:after="0" w:line="276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Poznań, </w:t>
      </w:r>
      <w:r w:rsidR="00E30C2F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dn. 16 września </w:t>
      </w:r>
      <w:r w:rsidR="00EB45B8">
        <w:rPr>
          <w:rFonts w:ascii="Calibri" w:eastAsia="Times New Roman" w:hAnsi="Calibri" w:cs="Calibri"/>
          <w:bCs/>
          <w:sz w:val="20"/>
          <w:szCs w:val="20"/>
          <w:lang w:eastAsia="pl-PL"/>
        </w:rPr>
        <w:t>2024</w:t>
      </w:r>
      <w:r w:rsidR="009D3CCE" w:rsidRPr="009D3CC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r.</w:t>
      </w:r>
    </w:p>
    <w:p w:rsidR="00B32D0D" w:rsidRDefault="00DD2F89" w:rsidP="00F70C31">
      <w:pPr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DD2F89">
        <w:rPr>
          <w:rFonts w:eastAsia="Times New Roman" w:cstheme="minorHAnsi"/>
          <w:bCs/>
          <w:sz w:val="20"/>
          <w:szCs w:val="20"/>
          <w:lang w:eastAsia="pl-PL"/>
        </w:rPr>
        <w:t>D/kw.</w:t>
      </w:r>
      <w:r w:rsidR="00743AE6">
        <w:rPr>
          <w:rFonts w:eastAsia="Times New Roman" w:cstheme="minorHAnsi"/>
          <w:bCs/>
          <w:sz w:val="20"/>
          <w:szCs w:val="20"/>
          <w:lang w:eastAsia="pl-PL"/>
        </w:rPr>
        <w:t>2232……….</w:t>
      </w:r>
      <w:r w:rsidR="00EB45B8">
        <w:rPr>
          <w:rFonts w:eastAsia="Times New Roman" w:cstheme="minorHAnsi"/>
          <w:bCs/>
          <w:sz w:val="20"/>
          <w:szCs w:val="20"/>
          <w:lang w:eastAsia="pl-PL"/>
        </w:rPr>
        <w:t>.2024</w:t>
      </w:r>
      <w:r w:rsidR="009217D7">
        <w:rPr>
          <w:rFonts w:eastAsia="Times New Roman" w:cstheme="minorHAnsi"/>
          <w:bCs/>
          <w:sz w:val="20"/>
          <w:szCs w:val="20"/>
          <w:lang w:eastAsia="pl-PL"/>
        </w:rPr>
        <w:t>.IM</w:t>
      </w:r>
    </w:p>
    <w:p w:rsidR="00F70C31" w:rsidRDefault="00F70C31" w:rsidP="00F70C31">
      <w:pPr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F70C31" w:rsidRPr="00F70C31" w:rsidRDefault="00F70C31" w:rsidP="00F70C31">
      <w:pPr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277BD" w:rsidRPr="00C277BD" w:rsidRDefault="00C277BD" w:rsidP="00DF78B3">
      <w:pPr>
        <w:pStyle w:val="wzory-sad"/>
        <w:ind w:left="3540"/>
        <w:rPr>
          <w:rFonts w:ascii="Georgia" w:hAnsi="Georgia"/>
          <w:sz w:val="28"/>
          <w:szCs w:val="28"/>
        </w:rPr>
      </w:pPr>
      <w:r w:rsidRPr="00C277BD">
        <w:rPr>
          <w:rFonts w:ascii="Georgia" w:hAnsi="Georgia"/>
          <w:sz w:val="28"/>
          <w:szCs w:val="28"/>
        </w:rPr>
        <w:t>Do wszystkich Wykonawców uczestniczących w postępowaniu</w:t>
      </w:r>
    </w:p>
    <w:p w:rsidR="00BE0385" w:rsidRDefault="00C277BD" w:rsidP="00BE0385">
      <w:pPr>
        <w:pStyle w:val="wzory-tekst"/>
        <w:jc w:val="both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b/>
          <w:sz w:val="22"/>
        </w:rPr>
        <w:t>Dotyczy:</w:t>
      </w:r>
      <w:r w:rsidR="00BE0385">
        <w:rPr>
          <w:rFonts w:asciiTheme="minorHAnsi" w:cstheme="minorHAnsi"/>
          <w:sz w:val="22"/>
        </w:rPr>
        <w:t xml:space="preserve"> postępowania nr Ds.7</w:t>
      </w:r>
      <w:r w:rsidR="00EB45B8">
        <w:rPr>
          <w:rFonts w:asciiTheme="minorHAnsi" w:cstheme="minorHAnsi"/>
          <w:sz w:val="22"/>
        </w:rPr>
        <w:t>/2024</w:t>
      </w:r>
      <w:r w:rsidRPr="005625EE">
        <w:rPr>
          <w:rFonts w:asciiTheme="minorHAnsi" w:cstheme="minorHAnsi"/>
          <w:sz w:val="22"/>
        </w:rPr>
        <w:t xml:space="preserve"> w sprawie udzielenia zamówienia publicznego prowadzonego w trybie podstawowym na</w:t>
      </w:r>
      <w:r w:rsidR="00EB45B8">
        <w:rPr>
          <w:rFonts w:asciiTheme="minorHAnsi" w:cstheme="minorHAnsi"/>
          <w:sz w:val="22"/>
        </w:rPr>
        <w:t xml:space="preserve"> </w:t>
      </w:r>
      <w:r w:rsidR="00BE0385">
        <w:rPr>
          <w:rFonts w:asciiTheme="minorHAnsi" w:cstheme="minorHAnsi"/>
          <w:sz w:val="22"/>
        </w:rPr>
        <w:t xml:space="preserve">dostawy </w:t>
      </w:r>
      <w:r w:rsidR="00BE0385" w:rsidRPr="00BE0385">
        <w:rPr>
          <w:rFonts w:asciiTheme="minorHAnsi" w:cstheme="minorHAnsi"/>
          <w:sz w:val="22"/>
        </w:rPr>
        <w:t>kamizelek kuloodpornych oraz hełmów kuloodpornych do Aresztu Śledczego w Poznaniu</w:t>
      </w:r>
    </w:p>
    <w:p w:rsidR="00440406" w:rsidRPr="00BE0385" w:rsidRDefault="00440406" w:rsidP="00BE0385">
      <w:pPr>
        <w:pStyle w:val="wzory-tekst"/>
        <w:jc w:val="both"/>
        <w:rPr>
          <w:rFonts w:asciiTheme="minorHAnsi" w:cstheme="minorHAnsi"/>
          <w:sz w:val="22"/>
        </w:rPr>
      </w:pPr>
    </w:p>
    <w:p w:rsidR="00C277BD" w:rsidRPr="005625EE" w:rsidRDefault="000D4847" w:rsidP="00364635">
      <w:pPr>
        <w:pStyle w:val="wzory-tytul-2"/>
        <w:jc w:val="center"/>
        <w:rPr>
          <w:rFonts w:asciiTheme="minorHAnsi" w:cstheme="minorHAnsi"/>
          <w:sz w:val="22"/>
        </w:rPr>
      </w:pPr>
      <w:r>
        <w:rPr>
          <w:rFonts w:asciiTheme="minorHAnsi" w:cstheme="minorHAnsi"/>
          <w:b/>
          <w:sz w:val="22"/>
        </w:rPr>
        <w:t xml:space="preserve">Zawiadomienie </w:t>
      </w:r>
      <w:r w:rsidR="00BE0385">
        <w:rPr>
          <w:rFonts w:asciiTheme="minorHAnsi" w:cstheme="minorHAnsi"/>
          <w:b/>
          <w:sz w:val="22"/>
        </w:rPr>
        <w:t xml:space="preserve">o odrzuceniu oferty </w:t>
      </w:r>
      <w:r w:rsidR="00DF78B3">
        <w:rPr>
          <w:rFonts w:asciiTheme="minorHAnsi" w:cstheme="minorHAnsi"/>
          <w:b/>
          <w:sz w:val="22"/>
        </w:rPr>
        <w:t xml:space="preserve">w części I </w:t>
      </w:r>
      <w:proofErr w:type="spellStart"/>
      <w:r w:rsidR="00DF78B3">
        <w:rPr>
          <w:rFonts w:asciiTheme="minorHAnsi" w:cstheme="minorHAnsi"/>
          <w:b/>
          <w:sz w:val="22"/>
        </w:rPr>
        <w:t>i</w:t>
      </w:r>
      <w:proofErr w:type="spellEnd"/>
      <w:r w:rsidR="00DF78B3">
        <w:rPr>
          <w:rFonts w:asciiTheme="minorHAnsi" w:cstheme="minorHAnsi"/>
          <w:b/>
          <w:sz w:val="22"/>
        </w:rPr>
        <w:t xml:space="preserve"> II firmy </w:t>
      </w:r>
      <w:proofErr w:type="spellStart"/>
      <w:r w:rsidR="00364467">
        <w:rPr>
          <w:rFonts w:asciiTheme="minorHAnsi" w:cstheme="minorHAnsi"/>
          <w:b/>
          <w:sz w:val="22"/>
        </w:rPr>
        <w:t>BulletProof</w:t>
      </w:r>
      <w:proofErr w:type="spellEnd"/>
      <w:r w:rsidR="00364467">
        <w:rPr>
          <w:rFonts w:asciiTheme="minorHAnsi" w:cstheme="minorHAnsi"/>
          <w:b/>
          <w:sz w:val="22"/>
        </w:rPr>
        <w:t xml:space="preserve"> PPE Polska sp. z o.o.</w:t>
      </w:r>
    </w:p>
    <w:p w:rsidR="00BD22D4" w:rsidRPr="005625EE" w:rsidRDefault="00EB763F" w:rsidP="00DE7EC1">
      <w:pPr>
        <w:pStyle w:val="wzory-tekst"/>
        <w:ind w:firstLine="708"/>
        <w:jc w:val="both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t xml:space="preserve">Zamawiający, </w:t>
      </w:r>
      <w:r w:rsidR="00C277BD" w:rsidRPr="005625EE">
        <w:rPr>
          <w:rFonts w:asciiTheme="minorHAnsi" w:cstheme="minorHAnsi"/>
          <w:sz w:val="22"/>
        </w:rPr>
        <w:t>Areszt Śledczy</w:t>
      </w:r>
      <w:r w:rsidR="00357CD8" w:rsidRPr="005625EE">
        <w:rPr>
          <w:rFonts w:asciiTheme="minorHAnsi" w:cstheme="minorHAnsi"/>
          <w:sz w:val="22"/>
        </w:rPr>
        <w:t xml:space="preserve"> w Poznaniu</w:t>
      </w:r>
      <w:r w:rsidR="00C277BD" w:rsidRPr="005625EE">
        <w:rPr>
          <w:rFonts w:asciiTheme="minorHAnsi" w:cstheme="minorHAnsi"/>
          <w:sz w:val="22"/>
        </w:rPr>
        <w:t>, działając na</w:t>
      </w:r>
      <w:r w:rsidR="00E439E1">
        <w:rPr>
          <w:rFonts w:asciiTheme="minorHAnsi" w:cstheme="minorHAnsi"/>
          <w:sz w:val="22"/>
        </w:rPr>
        <w:t xml:space="preserve"> podstawie art. 226 ust. 1 pkt 2 c)</w:t>
      </w:r>
      <w:r w:rsidR="00C277BD" w:rsidRPr="005625EE">
        <w:rPr>
          <w:rFonts w:asciiTheme="minorHAnsi" w:cstheme="minorHAnsi"/>
          <w:sz w:val="22"/>
        </w:rPr>
        <w:t xml:space="preserve"> </w:t>
      </w:r>
      <w:r w:rsidR="00E439E1">
        <w:rPr>
          <w:rFonts w:asciiTheme="minorHAnsi" w:cstheme="minorHAnsi"/>
          <w:sz w:val="22"/>
        </w:rPr>
        <w:t>oraz art. 226 ust. 1</w:t>
      </w:r>
      <w:r w:rsidR="00357CD8" w:rsidRPr="005625EE">
        <w:rPr>
          <w:rFonts w:asciiTheme="minorHAnsi" w:cstheme="minorHAnsi"/>
          <w:sz w:val="22"/>
        </w:rPr>
        <w:t xml:space="preserve"> </w:t>
      </w:r>
      <w:r w:rsidR="00E439E1">
        <w:rPr>
          <w:rFonts w:asciiTheme="minorHAnsi" w:cstheme="minorHAnsi"/>
          <w:sz w:val="22"/>
        </w:rPr>
        <w:t xml:space="preserve">pkt 5 </w:t>
      </w:r>
      <w:r w:rsidR="00357CD8" w:rsidRPr="005625EE">
        <w:rPr>
          <w:rFonts w:asciiTheme="minorHAnsi" w:cstheme="minorHAnsi"/>
          <w:sz w:val="22"/>
        </w:rPr>
        <w:t xml:space="preserve">ustawy z 11 września </w:t>
      </w:r>
      <w:r w:rsidR="00C277BD" w:rsidRPr="005625EE">
        <w:rPr>
          <w:rFonts w:asciiTheme="minorHAnsi" w:cstheme="minorHAnsi"/>
          <w:sz w:val="22"/>
        </w:rPr>
        <w:t xml:space="preserve">2019 r. – Prawo zamówień publicznych, odrzuca ofertę </w:t>
      </w:r>
      <w:r w:rsidR="006F280A">
        <w:rPr>
          <w:rFonts w:asciiTheme="minorHAnsi" w:cstheme="minorHAnsi"/>
          <w:sz w:val="22"/>
        </w:rPr>
        <w:t>w </w:t>
      </w:r>
      <w:r w:rsidR="00C37201">
        <w:rPr>
          <w:rFonts w:asciiTheme="minorHAnsi" w:cstheme="minorHAnsi"/>
          <w:sz w:val="22"/>
        </w:rPr>
        <w:t xml:space="preserve">części I </w:t>
      </w:r>
      <w:proofErr w:type="spellStart"/>
      <w:r w:rsidR="00C37201">
        <w:rPr>
          <w:rFonts w:asciiTheme="minorHAnsi" w:cstheme="minorHAnsi"/>
          <w:sz w:val="22"/>
        </w:rPr>
        <w:t>i</w:t>
      </w:r>
      <w:proofErr w:type="spellEnd"/>
      <w:r w:rsidR="00C37201">
        <w:rPr>
          <w:rFonts w:asciiTheme="minorHAnsi" w:cstheme="minorHAnsi"/>
          <w:sz w:val="22"/>
        </w:rPr>
        <w:t xml:space="preserve"> II </w:t>
      </w:r>
      <w:r w:rsidR="00C277BD" w:rsidRPr="005625EE">
        <w:rPr>
          <w:rFonts w:asciiTheme="minorHAnsi" w:cstheme="minorHAnsi"/>
          <w:sz w:val="22"/>
        </w:rPr>
        <w:t>złożoną</w:t>
      </w:r>
      <w:r w:rsidR="002976E1" w:rsidRPr="005625EE">
        <w:rPr>
          <w:rFonts w:asciiTheme="minorHAnsi" w:cstheme="minorHAnsi"/>
          <w:sz w:val="22"/>
        </w:rPr>
        <w:t xml:space="preserve"> przez</w:t>
      </w:r>
      <w:r w:rsidR="00E439E1">
        <w:rPr>
          <w:rFonts w:ascii="Calibri" w:eastAsia="Calibri" w:hAnsi="Calibri" w:cs="Calibri"/>
          <w:color w:val="auto"/>
          <w:sz w:val="22"/>
          <w:lang w:eastAsia="en-US"/>
        </w:rPr>
        <w:t xml:space="preserve"> </w:t>
      </w:r>
      <w:proofErr w:type="spellStart"/>
      <w:r w:rsidR="00E439E1" w:rsidRPr="00E439E1">
        <w:rPr>
          <w:rFonts w:ascii="Calibri" w:eastAsia="Calibri" w:hAnsi="Calibri" w:cs="Calibri"/>
          <w:color w:val="auto"/>
          <w:sz w:val="22"/>
          <w:lang w:eastAsia="en-US"/>
        </w:rPr>
        <w:t>BulletProof</w:t>
      </w:r>
      <w:proofErr w:type="spellEnd"/>
      <w:r w:rsidR="00E439E1" w:rsidRPr="00E439E1">
        <w:rPr>
          <w:rFonts w:ascii="Calibri" w:eastAsia="Calibri" w:hAnsi="Calibri" w:cs="Calibri"/>
          <w:color w:val="auto"/>
          <w:sz w:val="22"/>
          <w:lang w:eastAsia="en-US"/>
        </w:rPr>
        <w:t xml:space="preserve"> PPE Polska sp. z o.o., ul. Zaporoska 46/U1A, 53-519 Wrocław</w:t>
      </w:r>
      <w:r w:rsidR="002976E1" w:rsidRPr="005625EE">
        <w:rPr>
          <w:rFonts w:asciiTheme="minorHAnsi" w:cstheme="minorHAnsi"/>
          <w:sz w:val="22"/>
        </w:rPr>
        <w:t xml:space="preserve">, </w:t>
      </w:r>
      <w:r w:rsidR="00C277BD" w:rsidRPr="005625EE">
        <w:rPr>
          <w:rFonts w:asciiTheme="minorHAnsi" w:cstheme="minorHAnsi"/>
          <w:sz w:val="22"/>
        </w:rPr>
        <w:t>ponieważ</w:t>
      </w:r>
      <w:r w:rsidR="00C37201">
        <w:rPr>
          <w:rFonts w:asciiTheme="minorHAnsi" w:cstheme="minorHAnsi"/>
          <w:sz w:val="22"/>
        </w:rPr>
        <w:t xml:space="preserve"> wykonawca </w:t>
      </w:r>
      <w:r w:rsidR="00C37201" w:rsidRPr="00C37201">
        <w:rPr>
          <w:rFonts w:asciiTheme="minorHAnsi" w:cstheme="minorHAnsi"/>
          <w:sz w:val="22"/>
        </w:rPr>
        <w:t xml:space="preserve">nie złożył w przewidzianym terminie oświadczenia, o którym mowa w art. 125 ust. 1, lub podmiotowego środka dowodowego, potwierdzających brak podstaw wykluczenia lub spełnianie warunków udziału w postępowaniu, </w:t>
      </w:r>
      <w:r w:rsidR="00C37201" w:rsidRPr="00C37201">
        <w:rPr>
          <w:rFonts w:asciiTheme="minorHAnsi" w:cstheme="minorHAnsi"/>
          <w:b/>
          <w:sz w:val="22"/>
        </w:rPr>
        <w:t>przedmiotowego środka dowodowego</w:t>
      </w:r>
      <w:r w:rsidR="00C37201" w:rsidRPr="00C37201">
        <w:rPr>
          <w:rFonts w:asciiTheme="minorHAnsi" w:cstheme="minorHAnsi"/>
          <w:sz w:val="22"/>
        </w:rPr>
        <w:t>, lub innych dokumentów lub oświadczeń</w:t>
      </w:r>
      <w:r w:rsidR="00C37201">
        <w:rPr>
          <w:rFonts w:asciiTheme="minorHAnsi" w:cstheme="minorHAnsi"/>
          <w:sz w:val="22"/>
        </w:rPr>
        <w:t xml:space="preserve"> oraz treść oferty jest </w:t>
      </w:r>
      <w:r w:rsidR="00C37201" w:rsidRPr="001B094C">
        <w:rPr>
          <w:rFonts w:asciiTheme="minorHAnsi" w:cstheme="minorHAnsi"/>
          <w:b/>
          <w:sz w:val="22"/>
        </w:rPr>
        <w:t>niezgodna z warunkami zamówienia</w:t>
      </w:r>
      <w:r w:rsidR="00C37201">
        <w:rPr>
          <w:rFonts w:asciiTheme="minorHAnsi" w:cstheme="minorHAnsi"/>
          <w:sz w:val="22"/>
        </w:rPr>
        <w:t>.</w:t>
      </w:r>
    </w:p>
    <w:p w:rsidR="00C277BD" w:rsidRPr="005625EE" w:rsidRDefault="00C277BD" w:rsidP="00364635">
      <w:pPr>
        <w:pStyle w:val="wzory-podtytul"/>
        <w:jc w:val="center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b/>
          <w:sz w:val="22"/>
        </w:rPr>
        <w:t>Uzasadnienie</w:t>
      </w:r>
    </w:p>
    <w:p w:rsidR="00E002AF" w:rsidRDefault="001B094C" w:rsidP="00DE7EC1">
      <w:pPr>
        <w:pStyle w:val="wzory-uzasadnienie"/>
        <w:ind w:firstLine="708"/>
        <w:jc w:val="both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t>W dniu 5 września</w:t>
      </w:r>
      <w:r w:rsidR="00A1080B">
        <w:rPr>
          <w:rFonts w:asciiTheme="minorHAnsi" w:cstheme="minorHAnsi"/>
          <w:sz w:val="22"/>
        </w:rPr>
        <w:t xml:space="preserve"> 2024 r.</w:t>
      </w:r>
      <w:r>
        <w:rPr>
          <w:rFonts w:asciiTheme="minorHAnsi" w:cstheme="minorHAnsi"/>
          <w:sz w:val="22"/>
        </w:rPr>
        <w:t xml:space="preserve"> Areszt Śledczy w Poznaniu </w:t>
      </w:r>
      <w:r w:rsidR="00620146" w:rsidRPr="00620146">
        <w:rPr>
          <w:rFonts w:asciiTheme="minorHAnsi" w:cstheme="minorHAnsi"/>
          <w:sz w:val="22"/>
        </w:rPr>
        <w:t xml:space="preserve">zgodnie z art. 107 ust. 2 ustawy </w:t>
      </w:r>
      <w:proofErr w:type="spellStart"/>
      <w:r w:rsidR="00620146" w:rsidRPr="00620146">
        <w:rPr>
          <w:rFonts w:asciiTheme="minorHAnsi" w:cstheme="minorHAnsi"/>
          <w:sz w:val="22"/>
        </w:rPr>
        <w:t>Pzp</w:t>
      </w:r>
      <w:proofErr w:type="spellEnd"/>
      <w:r w:rsidR="00620146" w:rsidRPr="00620146">
        <w:rPr>
          <w:rFonts w:asciiTheme="minorHAnsi" w:cstheme="minorHAnsi"/>
          <w:sz w:val="22"/>
        </w:rPr>
        <w:t xml:space="preserve"> wezwał Wykonawcę </w:t>
      </w:r>
      <w:proofErr w:type="spellStart"/>
      <w:r w:rsidRPr="001B094C">
        <w:rPr>
          <w:rFonts w:asciiTheme="minorHAnsi" w:cstheme="minorHAnsi"/>
          <w:sz w:val="22"/>
        </w:rPr>
        <w:t>BulletProof</w:t>
      </w:r>
      <w:proofErr w:type="spellEnd"/>
      <w:r w:rsidRPr="001B094C">
        <w:rPr>
          <w:rFonts w:asciiTheme="minorHAnsi" w:cstheme="minorHAnsi"/>
          <w:sz w:val="22"/>
        </w:rPr>
        <w:t xml:space="preserve"> PPE Polska sp. z o.o.</w:t>
      </w:r>
      <w:r>
        <w:rPr>
          <w:rFonts w:asciiTheme="minorHAnsi" w:cstheme="minorHAnsi"/>
          <w:sz w:val="22"/>
        </w:rPr>
        <w:t xml:space="preserve"> do złożenia przedmiotowych środków dowodowych w postępowaniu na dostawy kamizelek kuloodpornych i hełmów kuloodpornych do Aresztu Śledczego w Poznaniu.</w:t>
      </w:r>
      <w:r w:rsidR="00620146">
        <w:rPr>
          <w:rFonts w:asciiTheme="minorHAnsi" w:cstheme="minorHAnsi"/>
          <w:sz w:val="22"/>
        </w:rPr>
        <w:t xml:space="preserve"> </w:t>
      </w:r>
      <w:r w:rsidR="00620146" w:rsidRPr="00620146">
        <w:rPr>
          <w:rFonts w:asciiTheme="minorHAnsi" w:cstheme="minorHAnsi"/>
          <w:sz w:val="22"/>
        </w:rPr>
        <w:t xml:space="preserve">Wykonawca w wyznaczonym terminie </w:t>
      </w:r>
      <w:r w:rsidR="00620146">
        <w:rPr>
          <w:rFonts w:asciiTheme="minorHAnsi" w:cstheme="minorHAnsi"/>
          <w:sz w:val="22"/>
        </w:rPr>
        <w:t xml:space="preserve">tj. do dnia 11 września 2024 r. </w:t>
      </w:r>
      <w:r w:rsidR="00620146" w:rsidRPr="00620146">
        <w:rPr>
          <w:rFonts w:asciiTheme="minorHAnsi" w:cstheme="minorHAnsi"/>
          <w:sz w:val="22"/>
        </w:rPr>
        <w:t xml:space="preserve">przesłał Zamawiającemu </w:t>
      </w:r>
      <w:r w:rsidR="00620146">
        <w:rPr>
          <w:rFonts w:asciiTheme="minorHAnsi" w:cstheme="minorHAnsi"/>
          <w:sz w:val="22"/>
        </w:rPr>
        <w:t xml:space="preserve">przedmiotowe środki dowodowe </w:t>
      </w:r>
      <w:r w:rsidR="00620146" w:rsidRPr="00620146">
        <w:rPr>
          <w:rFonts w:asciiTheme="minorHAnsi" w:cstheme="minorHAnsi"/>
          <w:sz w:val="22"/>
        </w:rPr>
        <w:t xml:space="preserve">jednak </w:t>
      </w:r>
      <w:r w:rsidR="00E002AF">
        <w:rPr>
          <w:rFonts w:asciiTheme="minorHAnsi" w:cstheme="minorHAnsi"/>
          <w:sz w:val="22"/>
        </w:rPr>
        <w:t xml:space="preserve">złożone </w:t>
      </w:r>
      <w:r w:rsidR="00620146" w:rsidRPr="00620146">
        <w:rPr>
          <w:rFonts w:asciiTheme="minorHAnsi" w:cstheme="minorHAnsi"/>
          <w:sz w:val="22"/>
        </w:rPr>
        <w:t>dokument</w:t>
      </w:r>
      <w:r w:rsidR="00E002AF">
        <w:rPr>
          <w:rFonts w:asciiTheme="minorHAnsi" w:cstheme="minorHAnsi"/>
          <w:sz w:val="22"/>
        </w:rPr>
        <w:t>y</w:t>
      </w:r>
      <w:r w:rsidR="00620146" w:rsidRPr="00620146">
        <w:rPr>
          <w:rFonts w:asciiTheme="minorHAnsi" w:cstheme="minorHAnsi"/>
          <w:sz w:val="22"/>
        </w:rPr>
        <w:t xml:space="preserve"> nie został</w:t>
      </w:r>
      <w:r w:rsidR="00E002AF">
        <w:rPr>
          <w:rFonts w:asciiTheme="minorHAnsi" w:cstheme="minorHAnsi"/>
          <w:sz w:val="22"/>
        </w:rPr>
        <w:t>y podpisane</w:t>
      </w:r>
      <w:r w:rsidR="00620146" w:rsidRPr="00620146">
        <w:rPr>
          <w:rFonts w:asciiTheme="minorHAnsi" w:cstheme="minorHAnsi"/>
          <w:sz w:val="22"/>
        </w:rPr>
        <w:t xml:space="preserve"> żadnym podpisem wymaganym przez Zamawiającego tj.: kwalifikowanym podpisem elektronicznym lub podpisem zaufanym lub podpisem osobistym. </w:t>
      </w:r>
    </w:p>
    <w:p w:rsidR="00DE7EC1" w:rsidRDefault="00620146" w:rsidP="00DE7EC1">
      <w:pPr>
        <w:pStyle w:val="wzory-uzasadnienie"/>
        <w:ind w:firstLine="708"/>
        <w:jc w:val="both"/>
        <w:rPr>
          <w:rFonts w:asciiTheme="minorHAnsi" w:cstheme="minorHAnsi"/>
          <w:sz w:val="22"/>
        </w:rPr>
      </w:pPr>
      <w:r w:rsidRPr="00620146">
        <w:rPr>
          <w:rFonts w:asciiTheme="minorHAnsi" w:cstheme="minorHAnsi"/>
          <w:sz w:val="22"/>
        </w:rPr>
        <w:t xml:space="preserve">Zgodnie z art. 107 ust. 1 ustawy </w:t>
      </w:r>
      <w:proofErr w:type="spellStart"/>
      <w:r w:rsidRPr="00620146">
        <w:rPr>
          <w:rFonts w:asciiTheme="minorHAnsi" w:cstheme="minorHAnsi"/>
          <w:sz w:val="22"/>
        </w:rPr>
        <w:t>Pzp</w:t>
      </w:r>
      <w:proofErr w:type="spellEnd"/>
      <w:r w:rsidRPr="00620146">
        <w:rPr>
          <w:rFonts w:asciiTheme="minorHAnsi" w:cstheme="minorHAnsi"/>
          <w:sz w:val="22"/>
        </w:rPr>
        <w:t xml:space="preserve"> przedmiotowe środki do</w:t>
      </w:r>
      <w:r w:rsidR="00FB6B73">
        <w:rPr>
          <w:rFonts w:asciiTheme="minorHAnsi" w:cstheme="minorHAnsi"/>
          <w:sz w:val="22"/>
        </w:rPr>
        <w:t>wodowe powinny</w:t>
      </w:r>
      <w:r w:rsidR="00E002AF">
        <w:rPr>
          <w:rFonts w:asciiTheme="minorHAnsi" w:cstheme="minorHAnsi"/>
          <w:sz w:val="22"/>
        </w:rPr>
        <w:t xml:space="preserve"> być złożone wraz z </w:t>
      </w:r>
      <w:r w:rsidRPr="00620146">
        <w:rPr>
          <w:rFonts w:asciiTheme="minorHAnsi" w:cstheme="minorHAnsi"/>
          <w:sz w:val="22"/>
        </w:rPr>
        <w:t xml:space="preserve">ofertą. Ustawodawca przewidział jednak możliwość złożenia lub uzupełnienia przedmiotowych środków dowodowych w wyznaczonym terminie, niemniej jednak takie wezwanie może być wystosowane tylko jeden raz w obrębie tego samego przedmiotowego środka dowodowego (por. komentarz UZP do art. 107 ust. 2 </w:t>
      </w:r>
      <w:proofErr w:type="spellStart"/>
      <w:r w:rsidRPr="00620146">
        <w:rPr>
          <w:rFonts w:asciiTheme="minorHAnsi" w:cstheme="minorHAnsi"/>
          <w:sz w:val="22"/>
        </w:rPr>
        <w:t>Pzp</w:t>
      </w:r>
      <w:proofErr w:type="spellEnd"/>
      <w:r w:rsidRPr="00620146">
        <w:rPr>
          <w:rFonts w:asciiTheme="minorHAnsi" w:cstheme="minorHAnsi"/>
          <w:sz w:val="22"/>
        </w:rPr>
        <w:t xml:space="preserve">). </w:t>
      </w:r>
    </w:p>
    <w:p w:rsidR="00DE7EC1" w:rsidRDefault="00620146" w:rsidP="00DE7EC1">
      <w:pPr>
        <w:pStyle w:val="wzory-uzasadnienie"/>
        <w:ind w:firstLine="708"/>
        <w:jc w:val="both"/>
        <w:rPr>
          <w:rFonts w:asciiTheme="minorHAnsi" w:cstheme="minorHAnsi"/>
          <w:sz w:val="22"/>
        </w:rPr>
      </w:pPr>
      <w:r w:rsidRPr="00620146">
        <w:rPr>
          <w:rFonts w:asciiTheme="minorHAnsi" w:cstheme="minorHAnsi"/>
          <w:sz w:val="22"/>
        </w:rPr>
        <w:t>W tym przypadku Zamawiający przewidział możliwość złożenia lub uzupełnienia przedmiotowych śr</w:t>
      </w:r>
      <w:r w:rsidR="008F3A9D">
        <w:rPr>
          <w:rFonts w:asciiTheme="minorHAnsi" w:cstheme="minorHAnsi"/>
          <w:sz w:val="22"/>
        </w:rPr>
        <w:t>odków dowodowych w ogłoszeniu o </w:t>
      </w:r>
      <w:r w:rsidRPr="00620146">
        <w:rPr>
          <w:rFonts w:asciiTheme="minorHAnsi" w:cstheme="minorHAnsi"/>
          <w:sz w:val="22"/>
        </w:rPr>
        <w:t>zamówieniu i w SWZ. W świetle delegacji określonej w art. 70 p</w:t>
      </w:r>
      <w:r w:rsidR="008F3A9D">
        <w:rPr>
          <w:rFonts w:asciiTheme="minorHAnsi" w:cstheme="minorHAnsi"/>
          <w:sz w:val="22"/>
        </w:rPr>
        <w:t xml:space="preserve">kt 1 </w:t>
      </w:r>
      <w:proofErr w:type="spellStart"/>
      <w:r w:rsidR="008F3A9D">
        <w:rPr>
          <w:rFonts w:asciiTheme="minorHAnsi" w:cstheme="minorHAnsi"/>
          <w:sz w:val="22"/>
        </w:rPr>
        <w:t>Pzp</w:t>
      </w:r>
      <w:proofErr w:type="spellEnd"/>
      <w:r w:rsidR="008F3A9D">
        <w:rPr>
          <w:rFonts w:asciiTheme="minorHAnsi" w:cstheme="minorHAnsi"/>
          <w:sz w:val="22"/>
        </w:rPr>
        <w:t>, sposób sporządzania i </w:t>
      </w:r>
      <w:r w:rsidRPr="00620146">
        <w:rPr>
          <w:rFonts w:asciiTheme="minorHAnsi" w:cstheme="minorHAnsi"/>
          <w:sz w:val="22"/>
        </w:rPr>
        <w:t>przekazywania m.in. przedmiotowych środków dowodowych określa Rozporządzenie Prezesa R</w:t>
      </w:r>
      <w:r w:rsidR="00DE7EC1">
        <w:rPr>
          <w:rFonts w:asciiTheme="minorHAnsi" w:cstheme="minorHAnsi"/>
          <w:sz w:val="22"/>
        </w:rPr>
        <w:t>ady Ministrów z 30 grudnia 2020 r. w </w:t>
      </w:r>
      <w:r w:rsidRPr="00620146">
        <w:rPr>
          <w:rFonts w:asciiTheme="minorHAnsi" w:cstheme="minorHAnsi"/>
          <w:sz w:val="22"/>
        </w:rPr>
        <w:t xml:space="preserve">sprawie sposobu sporządzania i przekazywania informacji oraz wymagań technicznych dla dokumentów elektronicznych, oraz środków komunikacji </w:t>
      </w:r>
      <w:r w:rsidR="00DE7EC1">
        <w:rPr>
          <w:rFonts w:asciiTheme="minorHAnsi" w:cstheme="minorHAnsi"/>
          <w:sz w:val="22"/>
        </w:rPr>
        <w:t>elektronicznej w postępowaniu o </w:t>
      </w:r>
      <w:r w:rsidRPr="00620146">
        <w:rPr>
          <w:rFonts w:asciiTheme="minorHAnsi" w:cstheme="minorHAnsi"/>
          <w:sz w:val="22"/>
        </w:rPr>
        <w:t xml:space="preserve">udzielenie zamówienia publicznego lub konkursie (zwanego dalej </w:t>
      </w:r>
      <w:r w:rsidR="00DE7EC1">
        <w:rPr>
          <w:rFonts w:asciiTheme="minorHAnsi" w:cstheme="minorHAnsi"/>
          <w:sz w:val="22"/>
        </w:rPr>
        <w:t>„Rozporządzeniem”). Zgodnie z §</w:t>
      </w:r>
      <w:r w:rsidRPr="00620146">
        <w:rPr>
          <w:rFonts w:asciiTheme="minorHAnsi" w:cstheme="minorHAnsi"/>
          <w:sz w:val="22"/>
        </w:rPr>
        <w:t xml:space="preserve">2 ust. 1 Rozporządzenia – przedmiotowe środki dowodowe sporządza się w postaci </w:t>
      </w:r>
      <w:r w:rsidRPr="00620146">
        <w:rPr>
          <w:rFonts w:asciiTheme="minorHAnsi" w:cstheme="minorHAnsi"/>
          <w:sz w:val="22"/>
        </w:rPr>
        <w:lastRenderedPageBreak/>
        <w:t>elektr</w:t>
      </w:r>
      <w:r w:rsidR="001A20F2">
        <w:rPr>
          <w:rFonts w:asciiTheme="minorHAnsi" w:cstheme="minorHAnsi"/>
          <w:sz w:val="22"/>
        </w:rPr>
        <w:t>onicznej, n</w:t>
      </w:r>
      <w:r w:rsidR="00DE7EC1">
        <w:rPr>
          <w:rFonts w:asciiTheme="minorHAnsi" w:cstheme="minorHAnsi"/>
          <w:sz w:val="22"/>
        </w:rPr>
        <w:t>atomiast zgodnie z §</w:t>
      </w:r>
      <w:r w:rsidRPr="00620146">
        <w:rPr>
          <w:rFonts w:asciiTheme="minorHAnsi" w:cstheme="minorHAnsi"/>
          <w:sz w:val="22"/>
        </w:rPr>
        <w:t>6 ust</w:t>
      </w:r>
      <w:r w:rsidR="008F3A9D">
        <w:rPr>
          <w:rFonts w:asciiTheme="minorHAnsi" w:cstheme="minorHAnsi"/>
          <w:sz w:val="22"/>
        </w:rPr>
        <w:t xml:space="preserve">. 2 Rozporządzenia przedmiotowe </w:t>
      </w:r>
      <w:r w:rsidRPr="00620146">
        <w:rPr>
          <w:rFonts w:asciiTheme="minorHAnsi" w:cstheme="minorHAnsi"/>
          <w:sz w:val="22"/>
        </w:rPr>
        <w:t>środki dowodowe, które zostały wystawione przez upoważnione podmioty, jako dokument w postaci papierowej, przekazuje się w postaci cyfrowego odwzorow</w:t>
      </w:r>
      <w:r w:rsidR="00DE7EC1">
        <w:rPr>
          <w:rFonts w:asciiTheme="minorHAnsi" w:cstheme="minorHAnsi"/>
          <w:sz w:val="22"/>
        </w:rPr>
        <w:t xml:space="preserve">ania tego dokumentu opatrzonego </w:t>
      </w:r>
      <w:r w:rsidRPr="00620146">
        <w:rPr>
          <w:rFonts w:asciiTheme="minorHAnsi" w:cstheme="minorHAnsi"/>
          <w:sz w:val="22"/>
        </w:rPr>
        <w:t>kwalifikowanym podpisem elektronicznym, podpisem zaufanym lub podpisem osobistym, poświadczające zgodność cyfrowego odwzorowania z dokumentem w postaci papierowej. Biorąc pod uwagę powyższe przepisy oraz stan faktyczny, Wykonawca był zobowiązany uzupełnić pr</w:t>
      </w:r>
      <w:r w:rsidR="00E207FA">
        <w:rPr>
          <w:rFonts w:asciiTheme="minorHAnsi" w:cstheme="minorHAnsi"/>
          <w:sz w:val="22"/>
        </w:rPr>
        <w:t>zedmiotowe środki dowodowe oraz przesłać te</w:t>
      </w:r>
      <w:r w:rsidRPr="00620146">
        <w:rPr>
          <w:rFonts w:asciiTheme="minorHAnsi" w:cstheme="minorHAnsi"/>
          <w:sz w:val="22"/>
        </w:rPr>
        <w:t xml:space="preserve"> dokument</w:t>
      </w:r>
      <w:r w:rsidR="00E207FA">
        <w:rPr>
          <w:rFonts w:asciiTheme="minorHAnsi" w:cstheme="minorHAnsi"/>
          <w:sz w:val="22"/>
        </w:rPr>
        <w:t>y do Zamawiającego podpisane</w:t>
      </w:r>
      <w:r w:rsidRPr="00620146">
        <w:rPr>
          <w:rFonts w:asciiTheme="minorHAnsi" w:cstheme="minorHAnsi"/>
          <w:sz w:val="22"/>
        </w:rPr>
        <w:t xml:space="preserve"> kwalifikowanym podpisem elektronicznym, podpisem zau</w:t>
      </w:r>
      <w:r w:rsidR="00DE7EC1">
        <w:rPr>
          <w:rFonts w:asciiTheme="minorHAnsi" w:cstheme="minorHAnsi"/>
          <w:sz w:val="22"/>
        </w:rPr>
        <w:t>fanym lub podpisem osobistym, w </w:t>
      </w:r>
      <w:r w:rsidRPr="00620146">
        <w:rPr>
          <w:rFonts w:asciiTheme="minorHAnsi" w:cstheme="minorHAnsi"/>
          <w:sz w:val="22"/>
        </w:rPr>
        <w:t>terminie wskazanym przez Zamawiającego. Wykonawca przesłał do Zamawiającego dokument</w:t>
      </w:r>
      <w:r w:rsidR="00E207FA">
        <w:rPr>
          <w:rFonts w:asciiTheme="minorHAnsi" w:cstheme="minorHAnsi"/>
          <w:sz w:val="22"/>
        </w:rPr>
        <w:t>y niepodpisane</w:t>
      </w:r>
      <w:r w:rsidRPr="00620146">
        <w:rPr>
          <w:rFonts w:asciiTheme="minorHAnsi" w:cstheme="minorHAnsi"/>
          <w:sz w:val="22"/>
        </w:rPr>
        <w:t xml:space="preserve">, </w:t>
      </w:r>
      <w:r w:rsidR="00E207FA">
        <w:rPr>
          <w:rFonts w:asciiTheme="minorHAnsi" w:cstheme="minorHAnsi"/>
          <w:sz w:val="22"/>
        </w:rPr>
        <w:t>żadnym z wymaganych podpisów, co</w:t>
      </w:r>
      <w:r w:rsidRPr="00620146">
        <w:rPr>
          <w:rFonts w:asciiTheme="minorHAnsi" w:cstheme="minorHAnsi"/>
          <w:sz w:val="22"/>
        </w:rPr>
        <w:t xml:space="preserve"> należy uznać, że dokument</w:t>
      </w:r>
      <w:r w:rsidR="00E207FA">
        <w:rPr>
          <w:rFonts w:asciiTheme="minorHAnsi" w:cstheme="minorHAnsi"/>
          <w:sz w:val="22"/>
        </w:rPr>
        <w:t>y te</w:t>
      </w:r>
      <w:r w:rsidRPr="00620146">
        <w:rPr>
          <w:rFonts w:asciiTheme="minorHAnsi" w:cstheme="minorHAnsi"/>
          <w:sz w:val="22"/>
        </w:rPr>
        <w:t xml:space="preserve"> nie został</w:t>
      </w:r>
      <w:r w:rsidR="00E207FA">
        <w:rPr>
          <w:rFonts w:asciiTheme="minorHAnsi" w:cstheme="minorHAnsi"/>
          <w:sz w:val="22"/>
        </w:rPr>
        <w:t>y prawidłowo uzupełnione</w:t>
      </w:r>
      <w:r w:rsidR="00FB6B73">
        <w:rPr>
          <w:rFonts w:asciiTheme="minorHAnsi" w:cstheme="minorHAnsi"/>
          <w:sz w:val="22"/>
        </w:rPr>
        <w:t xml:space="preserve"> i </w:t>
      </w:r>
      <w:r w:rsidRPr="00620146">
        <w:rPr>
          <w:rFonts w:asciiTheme="minorHAnsi" w:cstheme="minorHAnsi"/>
          <w:sz w:val="22"/>
        </w:rPr>
        <w:t>oferta Wykonawcy podlega odrzuceniu na podstawie art.</w:t>
      </w:r>
      <w:r w:rsidR="00FB6B73">
        <w:rPr>
          <w:rFonts w:asciiTheme="minorHAnsi" w:cstheme="minorHAnsi"/>
          <w:sz w:val="22"/>
        </w:rPr>
        <w:t xml:space="preserve"> 226 ust. 1 pkt 2 lit. c </w:t>
      </w:r>
      <w:proofErr w:type="spellStart"/>
      <w:r w:rsidR="00FB6B73">
        <w:rPr>
          <w:rFonts w:asciiTheme="minorHAnsi" w:cstheme="minorHAnsi"/>
          <w:sz w:val="22"/>
        </w:rPr>
        <w:t>Pzp</w:t>
      </w:r>
      <w:proofErr w:type="spellEnd"/>
      <w:r w:rsidR="00FB6B73">
        <w:rPr>
          <w:rFonts w:asciiTheme="minorHAnsi" w:cstheme="minorHAnsi"/>
          <w:sz w:val="22"/>
        </w:rPr>
        <w:t xml:space="preserve">. </w:t>
      </w:r>
    </w:p>
    <w:p w:rsidR="00856F15" w:rsidRDefault="00FB6B73" w:rsidP="00DE7EC1">
      <w:pPr>
        <w:pStyle w:val="wzory-uzasadnienie"/>
        <w:ind w:firstLine="708"/>
        <w:jc w:val="both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t>W </w:t>
      </w:r>
      <w:r w:rsidR="00620146" w:rsidRPr="00620146">
        <w:rPr>
          <w:rFonts w:asciiTheme="minorHAnsi" w:cstheme="minorHAnsi"/>
          <w:sz w:val="22"/>
        </w:rPr>
        <w:t>przedstawionym stanie faktycznym oferta wykonawcy podlega odrzuceniu na podstawie art. 226 ust.</w:t>
      </w:r>
      <w:r w:rsidR="00DE7EC1">
        <w:rPr>
          <w:rFonts w:asciiTheme="minorHAnsi" w:cstheme="minorHAnsi"/>
          <w:sz w:val="22"/>
        </w:rPr>
        <w:t xml:space="preserve"> 1 pkt 2 lit. c) ustawy </w:t>
      </w:r>
      <w:proofErr w:type="spellStart"/>
      <w:r w:rsidR="00620146" w:rsidRPr="00620146">
        <w:rPr>
          <w:rFonts w:asciiTheme="minorHAnsi" w:cstheme="minorHAnsi"/>
          <w:sz w:val="22"/>
        </w:rPr>
        <w:t>Pz</w:t>
      </w:r>
      <w:r w:rsidR="00DE7EC1">
        <w:rPr>
          <w:rFonts w:asciiTheme="minorHAnsi" w:cstheme="minorHAnsi"/>
          <w:sz w:val="22"/>
        </w:rPr>
        <w:t>p</w:t>
      </w:r>
      <w:proofErr w:type="spellEnd"/>
      <w:r w:rsidR="00620146" w:rsidRPr="00620146">
        <w:rPr>
          <w:rFonts w:asciiTheme="minorHAnsi" w:cstheme="minorHAnsi"/>
          <w:sz w:val="22"/>
        </w:rPr>
        <w:t>, ponieważ została złożona przez wykonawcę, który w przewidzianym terminie nie złożył przedmiotowych środków dowodowych. Przedmiotowe środki dowodowe co do zasady należy złożyć wraz z ofertą. Uzupełnienie przedmiotowych środków dowodow</w:t>
      </w:r>
      <w:r w:rsidR="00DE7EC1">
        <w:rPr>
          <w:rFonts w:asciiTheme="minorHAnsi" w:cstheme="minorHAnsi"/>
          <w:sz w:val="22"/>
        </w:rPr>
        <w:t xml:space="preserve">ych zgodnie z art. 107 ust. 2 </w:t>
      </w:r>
      <w:proofErr w:type="spellStart"/>
      <w:r w:rsidR="00DE7EC1">
        <w:rPr>
          <w:rFonts w:asciiTheme="minorHAnsi" w:cstheme="minorHAnsi"/>
          <w:sz w:val="22"/>
        </w:rPr>
        <w:t>pzp</w:t>
      </w:r>
      <w:proofErr w:type="spellEnd"/>
      <w:r w:rsidR="00620146" w:rsidRPr="00620146">
        <w:rPr>
          <w:rFonts w:asciiTheme="minorHAnsi" w:cstheme="minorHAnsi"/>
          <w:sz w:val="22"/>
        </w:rPr>
        <w:t xml:space="preserve"> jest wyjątkiem od powyższej zasady. Złożenie niekompletnych prze</w:t>
      </w:r>
      <w:r w:rsidR="00DE7EC1">
        <w:rPr>
          <w:rFonts w:asciiTheme="minorHAnsi" w:cstheme="minorHAnsi"/>
          <w:sz w:val="22"/>
        </w:rPr>
        <w:t>dmiotowych środków dowodowych w </w:t>
      </w:r>
      <w:r w:rsidR="00620146" w:rsidRPr="00620146">
        <w:rPr>
          <w:rFonts w:asciiTheme="minorHAnsi" w:cstheme="minorHAnsi"/>
          <w:sz w:val="22"/>
        </w:rPr>
        <w:t>odpowiedzi na wezwanie zamawiającego wystosow</w:t>
      </w:r>
      <w:r w:rsidR="00DE7EC1">
        <w:rPr>
          <w:rFonts w:asciiTheme="minorHAnsi" w:cstheme="minorHAnsi"/>
          <w:sz w:val="22"/>
        </w:rPr>
        <w:t xml:space="preserve">ane zgodnie z art. 107 ust. 2 </w:t>
      </w:r>
      <w:proofErr w:type="spellStart"/>
      <w:r w:rsidR="00DE7EC1">
        <w:rPr>
          <w:rFonts w:asciiTheme="minorHAnsi" w:cstheme="minorHAnsi"/>
          <w:sz w:val="22"/>
        </w:rPr>
        <w:t>pzp</w:t>
      </w:r>
      <w:proofErr w:type="spellEnd"/>
      <w:r w:rsidR="00620146" w:rsidRPr="00620146">
        <w:rPr>
          <w:rFonts w:asciiTheme="minorHAnsi" w:cstheme="minorHAnsi"/>
          <w:sz w:val="22"/>
        </w:rPr>
        <w:t xml:space="preserve"> należy traktować jak brak złożenia przedmiotowych środków dowodowych. Brak </w:t>
      </w:r>
      <w:r w:rsidR="00E207FA">
        <w:rPr>
          <w:rFonts w:asciiTheme="minorHAnsi" w:cstheme="minorHAnsi"/>
          <w:sz w:val="22"/>
        </w:rPr>
        <w:t xml:space="preserve">odpowiedniego podpisu </w:t>
      </w:r>
      <w:r w:rsidR="00620146" w:rsidRPr="00620146">
        <w:rPr>
          <w:rFonts w:asciiTheme="minorHAnsi" w:cstheme="minorHAnsi"/>
          <w:sz w:val="22"/>
        </w:rPr>
        <w:t>na przedmiotowych środkach dowodowych w przypadku</w:t>
      </w:r>
      <w:r w:rsidR="00E207FA">
        <w:rPr>
          <w:rFonts w:asciiTheme="minorHAnsi" w:cstheme="minorHAnsi"/>
          <w:sz w:val="22"/>
        </w:rPr>
        <w:t>,</w:t>
      </w:r>
      <w:r w:rsidR="00620146" w:rsidRPr="00620146">
        <w:rPr>
          <w:rFonts w:asciiTheme="minorHAnsi" w:cstheme="minorHAnsi"/>
          <w:sz w:val="22"/>
        </w:rPr>
        <w:t xml:space="preserve"> gdy dokumenty postępowania takiego podpisu wymagały należy traktować jak nie złożenie przedmiotowego środka dowodowego, co skutkuje odrzuceniem oferty zgodnie z art. 226 ust. 1 pkt 2 lit. c) </w:t>
      </w:r>
      <w:proofErr w:type="spellStart"/>
      <w:r w:rsidR="00620146" w:rsidRPr="00620146">
        <w:rPr>
          <w:rFonts w:asciiTheme="minorHAnsi" w:cstheme="minorHAnsi"/>
          <w:sz w:val="22"/>
        </w:rPr>
        <w:t>Pzp</w:t>
      </w:r>
      <w:proofErr w:type="spellEnd"/>
      <w:r w:rsidR="00E207FA">
        <w:rPr>
          <w:rFonts w:asciiTheme="minorHAnsi" w:cstheme="minorHAnsi"/>
          <w:sz w:val="22"/>
        </w:rPr>
        <w:t>.</w:t>
      </w:r>
    </w:p>
    <w:p w:rsidR="00953467" w:rsidRDefault="00704CE3" w:rsidP="00953467">
      <w:pPr>
        <w:spacing w:after="200" w:line="276" w:lineRule="auto"/>
        <w:jc w:val="both"/>
        <w:outlineLvl w:val="1"/>
        <w:rPr>
          <w:rFonts w:eastAsiaTheme="minorEastAsia" w:cstheme="minorHAnsi"/>
          <w:color w:val="000000"/>
          <w:lang w:eastAsia="pl-PL"/>
        </w:rPr>
      </w:pPr>
      <w:r w:rsidRPr="00704CE3">
        <w:rPr>
          <w:rFonts w:eastAsiaTheme="minorEastAsia" w:cstheme="minorHAnsi"/>
          <w:color w:val="000000"/>
          <w:lang w:eastAsia="pl-PL"/>
        </w:rPr>
        <w:tab/>
        <w:t xml:space="preserve"> </w:t>
      </w:r>
      <w:r w:rsidR="007630FB">
        <w:rPr>
          <w:rFonts w:eastAsiaTheme="minorEastAsia" w:cstheme="minorHAnsi"/>
          <w:color w:val="000000"/>
          <w:lang w:eastAsia="pl-PL"/>
        </w:rPr>
        <w:t>Z</w:t>
      </w:r>
      <w:r w:rsidRPr="00704CE3">
        <w:rPr>
          <w:rFonts w:eastAsiaTheme="minorEastAsia" w:cstheme="minorHAnsi"/>
          <w:color w:val="000000"/>
          <w:lang w:eastAsia="pl-PL"/>
        </w:rPr>
        <w:t xml:space="preserve">godnie z </w:t>
      </w:r>
      <w:r>
        <w:rPr>
          <w:rFonts w:eastAsiaTheme="minorEastAsia" w:cstheme="minorHAnsi"/>
          <w:color w:val="000000"/>
          <w:lang w:eastAsia="pl-PL"/>
        </w:rPr>
        <w:t xml:space="preserve">§5 rozporządzenia podmiotowe środki dowodowe, przedmiotowe środki dowodowe oraz inne dokumenty lub oświadczenia, sporządzone w języku obcym przekazuje się wraz z tłumaczeniem na język polski. </w:t>
      </w:r>
      <w:r w:rsidR="00CC540A">
        <w:rPr>
          <w:rFonts w:eastAsiaTheme="minorEastAsia" w:cstheme="minorHAnsi"/>
          <w:color w:val="000000"/>
          <w:lang w:eastAsia="pl-PL"/>
        </w:rPr>
        <w:t>W przypadku hełmów kuloodpornych, wykonawca dostarczył przedmiotowy środek dowodowy w języku obcym, bez obligatoryjnego tłumaczenia na język polski.</w:t>
      </w:r>
    </w:p>
    <w:p w:rsidR="008C73CA" w:rsidRDefault="002B3063" w:rsidP="003C2375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  <w:r>
        <w:rPr>
          <w:rFonts w:eastAsiaTheme="minorEastAsia" w:cstheme="minorHAnsi"/>
          <w:color w:val="000000"/>
          <w:lang w:eastAsia="pl-PL"/>
        </w:rPr>
        <w:t xml:space="preserve">Ponadto zgodnie z opisem przedmiotu zamówienia (załącznik nr 1b do SWZ) zamawiający wymagał kamizelek kuloodpornych z wkładami </w:t>
      </w:r>
      <w:r w:rsidRPr="002B3063">
        <w:rPr>
          <w:rFonts w:eastAsiaTheme="minorEastAsia" w:cstheme="minorHAnsi"/>
          <w:color w:val="000000"/>
          <w:lang w:eastAsia="pl-PL"/>
        </w:rPr>
        <w:t>w rozmiarze L (</w:t>
      </w:r>
      <w:r>
        <w:rPr>
          <w:rFonts w:eastAsiaTheme="minorEastAsia" w:cstheme="minorHAnsi"/>
          <w:color w:val="000000"/>
          <w:lang w:eastAsia="pl-PL"/>
        </w:rPr>
        <w:t xml:space="preserve">o wymiarach </w:t>
      </w:r>
      <w:r w:rsidRPr="002B3063">
        <w:rPr>
          <w:rFonts w:eastAsiaTheme="minorEastAsia" w:cstheme="minorHAnsi"/>
          <w:color w:val="000000"/>
          <w:lang w:eastAsia="pl-PL"/>
        </w:rPr>
        <w:t>325x260mm +/- 5mm)</w:t>
      </w:r>
      <w:r>
        <w:rPr>
          <w:rFonts w:eastAsiaTheme="minorEastAsia" w:cstheme="minorHAnsi"/>
          <w:color w:val="000000"/>
          <w:lang w:eastAsia="pl-PL"/>
        </w:rPr>
        <w:t>, natomiast wykonawca w deklaracji</w:t>
      </w:r>
      <w:r w:rsidRPr="002B3063">
        <w:rPr>
          <w:rFonts w:eastAsiaTheme="minorEastAsia" w:cstheme="minorHAnsi"/>
          <w:color w:val="000000"/>
          <w:lang w:eastAsia="pl-PL"/>
        </w:rPr>
        <w:t xml:space="preserve"> własności użytkowych nr 06/05/2024, dot. płyt i paneli balistycznych mięk</w:t>
      </w:r>
      <w:r w:rsidR="004F4911">
        <w:rPr>
          <w:rFonts w:eastAsiaTheme="minorEastAsia" w:cstheme="minorHAnsi"/>
          <w:color w:val="000000"/>
          <w:lang w:eastAsia="pl-PL"/>
        </w:rPr>
        <w:t xml:space="preserve">kich klasy IIIA </w:t>
      </w:r>
      <w:r>
        <w:rPr>
          <w:rFonts w:eastAsiaTheme="minorEastAsia" w:cstheme="minorHAnsi"/>
          <w:color w:val="000000"/>
          <w:lang w:eastAsia="pl-PL"/>
        </w:rPr>
        <w:t>NIJ sporządzonej</w:t>
      </w:r>
      <w:r w:rsidRPr="002B3063">
        <w:rPr>
          <w:rFonts w:eastAsiaTheme="minorEastAsia" w:cstheme="minorHAnsi"/>
          <w:color w:val="000000"/>
          <w:lang w:eastAsia="pl-PL"/>
        </w:rPr>
        <w:t xml:space="preserve"> na podstawie rapo</w:t>
      </w:r>
      <w:r>
        <w:rPr>
          <w:rFonts w:eastAsiaTheme="minorEastAsia" w:cstheme="minorHAnsi"/>
          <w:color w:val="000000"/>
          <w:lang w:eastAsia="pl-PL"/>
        </w:rPr>
        <w:t>rtów z </w:t>
      </w:r>
      <w:r w:rsidR="008C73CA">
        <w:rPr>
          <w:rFonts w:eastAsiaTheme="minorEastAsia" w:cstheme="minorHAnsi"/>
          <w:color w:val="000000"/>
          <w:lang w:eastAsia="pl-PL"/>
        </w:rPr>
        <w:t>badań, płyty nie spełnił</w:t>
      </w:r>
      <w:r>
        <w:rPr>
          <w:rFonts w:eastAsiaTheme="minorEastAsia" w:cstheme="minorHAnsi"/>
          <w:color w:val="000000"/>
          <w:lang w:eastAsia="pl-PL"/>
        </w:rPr>
        <w:t xml:space="preserve"> w</w:t>
      </w:r>
      <w:r w:rsidRPr="002B3063">
        <w:rPr>
          <w:rFonts w:eastAsiaTheme="minorEastAsia" w:cstheme="minorHAnsi"/>
          <w:color w:val="000000"/>
          <w:lang w:eastAsia="pl-PL"/>
        </w:rPr>
        <w:t>ymagań technicznych dotyczących rozmiarów wkładów</w:t>
      </w:r>
      <w:r>
        <w:rPr>
          <w:rFonts w:eastAsiaTheme="minorEastAsia" w:cstheme="minorHAnsi"/>
          <w:color w:val="000000"/>
          <w:lang w:eastAsia="pl-PL"/>
        </w:rPr>
        <w:t>.</w:t>
      </w:r>
    </w:p>
    <w:p w:rsidR="003C2375" w:rsidRPr="00704CE3" w:rsidRDefault="003C2375" w:rsidP="003C2375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</w:p>
    <w:p w:rsidR="00363518" w:rsidRPr="00363518" w:rsidRDefault="00363518" w:rsidP="00363518">
      <w:pPr>
        <w:spacing w:after="200" w:line="276" w:lineRule="auto"/>
        <w:jc w:val="center"/>
        <w:outlineLvl w:val="1"/>
        <w:rPr>
          <w:rFonts w:eastAsiaTheme="minorEastAsia" w:cstheme="minorHAnsi"/>
          <w:color w:val="000000"/>
          <w:lang w:eastAsia="pl-PL"/>
        </w:rPr>
      </w:pPr>
      <w:r w:rsidRPr="00363518">
        <w:rPr>
          <w:rFonts w:eastAsiaTheme="minorEastAsia" w:cstheme="minorHAnsi"/>
          <w:b/>
          <w:color w:val="000000"/>
          <w:lang w:eastAsia="pl-PL"/>
        </w:rPr>
        <w:t xml:space="preserve">Zawiadomienie o odrzuceniu oferty </w:t>
      </w:r>
      <w:r w:rsidR="00DF78B3">
        <w:rPr>
          <w:rFonts w:eastAsiaTheme="minorEastAsia" w:cstheme="minorHAnsi"/>
          <w:b/>
          <w:color w:val="000000"/>
          <w:lang w:eastAsia="pl-PL"/>
        </w:rPr>
        <w:t xml:space="preserve">w części II firmy </w:t>
      </w:r>
      <w:r w:rsidR="00DF78B3" w:rsidRPr="00DF78B3">
        <w:rPr>
          <w:rFonts w:eastAsiaTheme="minorEastAsia" w:cstheme="minorHAnsi"/>
          <w:b/>
          <w:color w:val="000000"/>
          <w:lang w:eastAsia="pl-PL"/>
        </w:rPr>
        <w:t xml:space="preserve">MDH </w:t>
      </w:r>
      <w:proofErr w:type="spellStart"/>
      <w:r w:rsidR="00DF78B3" w:rsidRPr="00DF78B3">
        <w:rPr>
          <w:rFonts w:eastAsiaTheme="minorEastAsia" w:cstheme="minorHAnsi"/>
          <w:b/>
          <w:color w:val="000000"/>
          <w:lang w:eastAsia="pl-PL"/>
        </w:rPr>
        <w:t>Protection</w:t>
      </w:r>
      <w:proofErr w:type="spellEnd"/>
      <w:r w:rsidR="00DF78B3" w:rsidRPr="00DF78B3">
        <w:rPr>
          <w:rFonts w:eastAsiaTheme="minorEastAsia" w:cstheme="minorHAnsi"/>
          <w:b/>
          <w:color w:val="000000"/>
          <w:lang w:eastAsia="pl-PL"/>
        </w:rPr>
        <w:t xml:space="preserve"> sp. z o .o., ul. Okrężna 18, 62 – 025 Kostrzyn</w:t>
      </w:r>
    </w:p>
    <w:p w:rsidR="00363518" w:rsidRDefault="00363518" w:rsidP="005E1168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  <w:r w:rsidRPr="00363518">
        <w:rPr>
          <w:rFonts w:eastAsiaTheme="minorEastAsia" w:cstheme="minorHAnsi"/>
          <w:color w:val="000000"/>
          <w:lang w:eastAsia="pl-PL"/>
        </w:rPr>
        <w:t>Zamawiający, Areszt Śledczy w Poznaniu, działając na pod</w:t>
      </w:r>
      <w:r w:rsidR="002245F8">
        <w:rPr>
          <w:rFonts w:eastAsiaTheme="minorEastAsia" w:cstheme="minorHAnsi"/>
          <w:color w:val="000000"/>
          <w:lang w:eastAsia="pl-PL"/>
        </w:rPr>
        <w:t xml:space="preserve">stawie </w:t>
      </w:r>
      <w:r w:rsidRPr="00363518">
        <w:rPr>
          <w:rFonts w:eastAsiaTheme="minorEastAsia" w:cstheme="minorHAnsi"/>
          <w:color w:val="000000"/>
          <w:lang w:eastAsia="pl-PL"/>
        </w:rPr>
        <w:t>art. 226 ust. 1 pkt 5 ustawy z 11 września 2019 r. – Prawo zamówień publiczn</w:t>
      </w:r>
      <w:r w:rsidR="000C5F0D">
        <w:rPr>
          <w:rFonts w:eastAsiaTheme="minorEastAsia" w:cstheme="minorHAnsi"/>
          <w:color w:val="000000"/>
          <w:lang w:eastAsia="pl-PL"/>
        </w:rPr>
        <w:t>ych, odrzuca ofertę w części</w:t>
      </w:r>
      <w:r w:rsidRPr="00363518">
        <w:rPr>
          <w:rFonts w:eastAsiaTheme="minorEastAsia" w:cstheme="minorHAnsi"/>
          <w:color w:val="000000"/>
          <w:lang w:eastAsia="pl-PL"/>
        </w:rPr>
        <w:t xml:space="preserve"> II złożoną przez</w:t>
      </w:r>
      <w:r w:rsidR="000C5F0D" w:rsidRPr="000C5F0D">
        <w:t xml:space="preserve"> </w:t>
      </w:r>
      <w:r w:rsidR="000C5F0D" w:rsidRPr="000C5F0D">
        <w:rPr>
          <w:rFonts w:eastAsiaTheme="minorEastAsia" w:cstheme="minorHAnsi"/>
          <w:color w:val="000000"/>
          <w:lang w:eastAsia="pl-PL"/>
        </w:rPr>
        <w:t xml:space="preserve">MDH </w:t>
      </w:r>
      <w:proofErr w:type="spellStart"/>
      <w:r w:rsidR="000C5F0D" w:rsidRPr="000C5F0D">
        <w:rPr>
          <w:rFonts w:eastAsiaTheme="minorEastAsia" w:cstheme="minorHAnsi"/>
          <w:color w:val="000000"/>
          <w:lang w:eastAsia="pl-PL"/>
        </w:rPr>
        <w:t>Protection</w:t>
      </w:r>
      <w:proofErr w:type="spellEnd"/>
      <w:r w:rsidR="000C5F0D" w:rsidRPr="000C5F0D">
        <w:rPr>
          <w:rFonts w:eastAsiaTheme="minorEastAsia" w:cstheme="minorHAnsi"/>
          <w:color w:val="000000"/>
          <w:lang w:eastAsia="pl-PL"/>
        </w:rPr>
        <w:t xml:space="preserve"> sp. z o .o., ul. Okrężna 18, 62 – 025 Kostrzyn</w:t>
      </w:r>
      <w:r w:rsidR="000C5F0D">
        <w:rPr>
          <w:rFonts w:eastAsiaTheme="minorEastAsia" w:cstheme="minorHAnsi"/>
          <w:color w:val="000000"/>
          <w:lang w:eastAsia="pl-PL"/>
        </w:rPr>
        <w:t xml:space="preserve">, ponieważ </w:t>
      </w:r>
      <w:r w:rsidRPr="00363518">
        <w:rPr>
          <w:rFonts w:eastAsiaTheme="minorEastAsia" w:cstheme="minorHAnsi"/>
          <w:color w:val="000000"/>
          <w:lang w:eastAsia="pl-PL"/>
        </w:rPr>
        <w:t xml:space="preserve">treść oferty jest </w:t>
      </w:r>
      <w:r w:rsidRPr="00363518">
        <w:rPr>
          <w:rFonts w:eastAsiaTheme="minorEastAsia" w:cstheme="minorHAnsi"/>
          <w:b/>
          <w:color w:val="000000"/>
          <w:lang w:eastAsia="pl-PL"/>
        </w:rPr>
        <w:t>niezgodna z warunkami zamówienia</w:t>
      </w:r>
      <w:r w:rsidRPr="00363518">
        <w:rPr>
          <w:rFonts w:eastAsiaTheme="minorEastAsia" w:cstheme="minorHAnsi"/>
          <w:color w:val="000000"/>
          <w:lang w:eastAsia="pl-PL"/>
        </w:rPr>
        <w:t>.</w:t>
      </w:r>
    </w:p>
    <w:p w:rsidR="003C2375" w:rsidRPr="00363518" w:rsidRDefault="003C2375" w:rsidP="005E1168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</w:p>
    <w:p w:rsidR="00363518" w:rsidRPr="00363518" w:rsidRDefault="00363518" w:rsidP="00363518">
      <w:pPr>
        <w:spacing w:after="200" w:line="276" w:lineRule="auto"/>
        <w:jc w:val="center"/>
        <w:outlineLvl w:val="1"/>
        <w:rPr>
          <w:rFonts w:eastAsiaTheme="minorEastAsia" w:cstheme="minorHAnsi"/>
          <w:color w:val="000000"/>
          <w:lang w:eastAsia="pl-PL"/>
        </w:rPr>
      </w:pPr>
      <w:r w:rsidRPr="00363518">
        <w:rPr>
          <w:rFonts w:eastAsiaTheme="minorEastAsia" w:cstheme="minorHAnsi"/>
          <w:b/>
          <w:color w:val="000000"/>
          <w:lang w:eastAsia="pl-PL"/>
        </w:rPr>
        <w:lastRenderedPageBreak/>
        <w:t>Uzasadnienie</w:t>
      </w:r>
    </w:p>
    <w:p w:rsidR="00363518" w:rsidRDefault="007B2C84" w:rsidP="005E1168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  <w:r>
        <w:rPr>
          <w:rFonts w:eastAsiaTheme="minorEastAsia" w:cstheme="minorHAnsi"/>
          <w:color w:val="000000"/>
          <w:lang w:eastAsia="pl-PL"/>
        </w:rPr>
        <w:t xml:space="preserve">Zgodnie z </w:t>
      </w:r>
      <w:r w:rsidR="004C37E2">
        <w:rPr>
          <w:rFonts w:eastAsiaTheme="minorEastAsia" w:cstheme="minorHAnsi"/>
          <w:color w:val="000000"/>
          <w:lang w:eastAsia="pl-PL"/>
        </w:rPr>
        <w:t xml:space="preserve">art. 107 </w:t>
      </w:r>
      <w:r w:rsidR="006F386D">
        <w:rPr>
          <w:rFonts w:eastAsiaTheme="minorEastAsia" w:cstheme="minorHAnsi"/>
          <w:color w:val="000000"/>
          <w:lang w:eastAsia="pl-PL"/>
        </w:rPr>
        <w:t>ust</w:t>
      </w:r>
      <w:r w:rsidR="004C37E2">
        <w:rPr>
          <w:rFonts w:eastAsiaTheme="minorEastAsia" w:cstheme="minorHAnsi"/>
          <w:color w:val="000000"/>
          <w:lang w:eastAsia="pl-PL"/>
        </w:rPr>
        <w:t xml:space="preserve">. 1 ustawy </w:t>
      </w:r>
      <w:proofErr w:type="spellStart"/>
      <w:r w:rsidR="004C37E2">
        <w:rPr>
          <w:rFonts w:eastAsiaTheme="minorEastAsia" w:cstheme="minorHAnsi"/>
          <w:color w:val="000000"/>
          <w:lang w:eastAsia="pl-PL"/>
        </w:rPr>
        <w:t>Pzp</w:t>
      </w:r>
      <w:proofErr w:type="spellEnd"/>
      <w:r w:rsidR="004C37E2">
        <w:rPr>
          <w:rFonts w:eastAsiaTheme="minorEastAsia" w:cstheme="minorHAnsi"/>
          <w:color w:val="000000"/>
          <w:lang w:eastAsia="pl-PL"/>
        </w:rPr>
        <w:t xml:space="preserve"> </w:t>
      </w:r>
      <w:r>
        <w:rPr>
          <w:rFonts w:eastAsiaTheme="minorEastAsia" w:cstheme="minorHAnsi"/>
          <w:color w:val="000000"/>
          <w:lang w:eastAsia="pl-PL"/>
        </w:rPr>
        <w:t xml:space="preserve">wykonawca </w:t>
      </w:r>
      <w:r w:rsidRPr="007B2C84">
        <w:rPr>
          <w:rFonts w:eastAsiaTheme="minorEastAsia" w:cstheme="minorHAnsi"/>
          <w:color w:val="000000"/>
          <w:lang w:eastAsia="pl-PL"/>
        </w:rPr>
        <w:t xml:space="preserve">MDH </w:t>
      </w:r>
      <w:proofErr w:type="spellStart"/>
      <w:r w:rsidRPr="007B2C84">
        <w:rPr>
          <w:rFonts w:eastAsiaTheme="minorEastAsia" w:cstheme="minorHAnsi"/>
          <w:color w:val="000000"/>
          <w:lang w:eastAsia="pl-PL"/>
        </w:rPr>
        <w:t>Protection</w:t>
      </w:r>
      <w:proofErr w:type="spellEnd"/>
      <w:r w:rsidRPr="007B2C84">
        <w:rPr>
          <w:rFonts w:eastAsiaTheme="minorEastAsia" w:cstheme="minorHAnsi"/>
          <w:color w:val="000000"/>
          <w:lang w:eastAsia="pl-PL"/>
        </w:rPr>
        <w:t xml:space="preserve"> sp. z o .o.</w:t>
      </w:r>
      <w:r>
        <w:rPr>
          <w:rFonts w:eastAsiaTheme="minorEastAsia" w:cstheme="minorHAnsi"/>
          <w:color w:val="000000"/>
          <w:lang w:eastAsia="pl-PL"/>
        </w:rPr>
        <w:t xml:space="preserve"> wraz z ofertą złożył przedmiotowe środki dowodowe, na podstawie których zamawiający dokonał weryfikacji zgodności proponowanego w ofercie przedmiotu zamówienia.</w:t>
      </w:r>
    </w:p>
    <w:p w:rsidR="007B2C84" w:rsidRDefault="007B2C84" w:rsidP="005E1168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  <w:r>
        <w:rPr>
          <w:rFonts w:eastAsiaTheme="minorEastAsia" w:cstheme="minorHAnsi"/>
          <w:color w:val="000000"/>
          <w:lang w:eastAsia="pl-PL"/>
        </w:rPr>
        <w:t xml:space="preserve">W załączniku nr 1c do SWZ zamawiający szczegółowo opisał wymagany przez siebie przedmiot zamówienia, tj. hełmy kuloodporne. Punkt 4.1 </w:t>
      </w:r>
      <w:r w:rsidR="00A63D34">
        <w:rPr>
          <w:rFonts w:eastAsiaTheme="minorEastAsia" w:cstheme="minorHAnsi"/>
          <w:color w:val="000000"/>
          <w:lang w:eastAsia="pl-PL"/>
        </w:rPr>
        <w:t xml:space="preserve">konstrukcja hełmu </w:t>
      </w:r>
      <w:r>
        <w:rPr>
          <w:rFonts w:eastAsiaTheme="minorEastAsia" w:cstheme="minorHAnsi"/>
          <w:color w:val="000000"/>
          <w:lang w:eastAsia="pl-PL"/>
        </w:rPr>
        <w:t xml:space="preserve">brzmi: </w:t>
      </w:r>
      <w:r w:rsidRPr="007B2C84">
        <w:rPr>
          <w:rFonts w:eastAsiaTheme="minorEastAsia" w:cstheme="minorHAnsi"/>
          <w:i/>
          <w:color w:val="000000"/>
          <w:lang w:eastAsia="pl-PL"/>
        </w:rPr>
        <w:t xml:space="preserve">„czerep hełmu musi być zgodny ze standardem ACH lub MICH, wykonany z materiałów kompozytowych, </w:t>
      </w:r>
      <w:r w:rsidRPr="007B2C84">
        <w:rPr>
          <w:rFonts w:eastAsiaTheme="minorEastAsia" w:cstheme="minorHAnsi"/>
          <w:b/>
          <w:i/>
          <w:color w:val="000000"/>
          <w:lang w:eastAsia="pl-PL"/>
        </w:rPr>
        <w:t>w wersji pełnej tj. odkrywającej  ucho</w:t>
      </w:r>
      <w:r w:rsidRPr="007B2C84">
        <w:rPr>
          <w:rFonts w:eastAsiaTheme="minorEastAsia" w:cstheme="minorHAnsi"/>
          <w:i/>
          <w:color w:val="000000"/>
          <w:lang w:eastAsia="pl-PL"/>
        </w:rPr>
        <w:t>, w kolorze czarnym – matowym, nie może posiadać w</w:t>
      </w:r>
      <w:r w:rsidR="003C2375">
        <w:rPr>
          <w:rFonts w:eastAsiaTheme="minorEastAsia" w:cstheme="minorHAnsi"/>
          <w:i/>
          <w:color w:val="000000"/>
          <w:lang w:eastAsia="pl-PL"/>
        </w:rPr>
        <w:t> </w:t>
      </w:r>
      <w:r w:rsidRPr="007B2C84">
        <w:rPr>
          <w:rFonts w:eastAsiaTheme="minorEastAsia" w:cstheme="minorHAnsi"/>
          <w:i/>
          <w:color w:val="000000"/>
          <w:lang w:eastAsia="pl-PL"/>
        </w:rPr>
        <w:t>części przedniej tzw. „daszka”</w:t>
      </w:r>
      <w:r>
        <w:rPr>
          <w:rFonts w:eastAsiaTheme="minorEastAsia" w:cstheme="minorHAnsi"/>
          <w:i/>
          <w:color w:val="000000"/>
          <w:lang w:eastAsia="pl-PL"/>
        </w:rPr>
        <w:t>.</w:t>
      </w:r>
      <w:r>
        <w:rPr>
          <w:rFonts w:eastAsiaTheme="minorEastAsia" w:cstheme="minorHAnsi"/>
          <w:color w:val="000000"/>
          <w:lang w:eastAsia="pl-PL"/>
        </w:rPr>
        <w:t xml:space="preserve"> Z zamieszczonego opisu jednoznacznie wynika, iż hełm miał być w wersji odsłaniającej ucho. </w:t>
      </w:r>
      <w:r w:rsidR="00B72F69">
        <w:rPr>
          <w:rFonts w:eastAsiaTheme="minorEastAsia" w:cstheme="minorHAnsi"/>
          <w:color w:val="000000"/>
          <w:lang w:eastAsia="pl-PL"/>
        </w:rPr>
        <w:t xml:space="preserve">W przesłanej przez wykonawcę broszurze technicznej hełmu balistycznego MKB-170 wynika iż: </w:t>
      </w:r>
      <w:r w:rsidR="00B72F69" w:rsidRPr="00B72F69">
        <w:rPr>
          <w:rFonts w:eastAsiaTheme="minorEastAsia" w:cstheme="minorHAnsi"/>
          <w:i/>
          <w:color w:val="000000"/>
          <w:lang w:eastAsia="pl-PL"/>
        </w:rPr>
        <w:t>„Kształt kasku na sferach usznych z zaokrąglonymi krawędziami zapewnia niezbędną sztywność boczną i naturalną obudowę słuchawek”</w:t>
      </w:r>
      <w:r w:rsidR="00B72F69">
        <w:rPr>
          <w:rFonts w:eastAsiaTheme="minorEastAsia" w:cstheme="minorHAnsi"/>
          <w:i/>
          <w:color w:val="000000"/>
          <w:lang w:eastAsia="pl-PL"/>
        </w:rPr>
        <w:t>.</w:t>
      </w:r>
      <w:r w:rsidR="00EA49FE">
        <w:rPr>
          <w:rFonts w:eastAsiaTheme="minorEastAsia" w:cstheme="minorHAnsi"/>
          <w:i/>
          <w:color w:val="000000"/>
          <w:lang w:eastAsia="pl-PL"/>
        </w:rPr>
        <w:t xml:space="preserve"> </w:t>
      </w:r>
      <w:r w:rsidR="00EA49FE">
        <w:rPr>
          <w:rFonts w:eastAsiaTheme="minorEastAsia" w:cstheme="minorHAnsi"/>
          <w:color w:val="000000"/>
          <w:lang w:eastAsia="pl-PL"/>
        </w:rPr>
        <w:t>Na tej podstawie zamawiający stwierdził, iż proponowany przedmiot zamó</w:t>
      </w:r>
      <w:r w:rsidR="005E1168">
        <w:rPr>
          <w:rFonts w:eastAsiaTheme="minorEastAsia" w:cstheme="minorHAnsi"/>
          <w:color w:val="000000"/>
          <w:lang w:eastAsia="pl-PL"/>
        </w:rPr>
        <w:t>wienia jest niezgodny w </w:t>
      </w:r>
      <w:r w:rsidR="00EA49FE">
        <w:rPr>
          <w:rFonts w:eastAsiaTheme="minorEastAsia" w:cstheme="minorHAnsi"/>
          <w:color w:val="000000"/>
          <w:lang w:eastAsia="pl-PL"/>
        </w:rPr>
        <w:t>warunkami zamówienia opisanymi przez zamawiającego.</w:t>
      </w:r>
    </w:p>
    <w:p w:rsidR="005E1168" w:rsidRDefault="00EA49FE" w:rsidP="003C2375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  <w:r>
        <w:rPr>
          <w:rFonts w:eastAsiaTheme="minorEastAsia" w:cstheme="minorHAnsi"/>
          <w:color w:val="000000"/>
          <w:lang w:eastAsia="pl-PL"/>
        </w:rPr>
        <w:t xml:space="preserve">W związku z powyższym, zamawiający zgodnie z art. 226 ust. 1 pkt 5 ustawy </w:t>
      </w:r>
      <w:r w:rsidR="00BD6947">
        <w:rPr>
          <w:rFonts w:eastAsiaTheme="minorEastAsia" w:cstheme="minorHAnsi"/>
          <w:color w:val="000000"/>
          <w:lang w:eastAsia="pl-PL"/>
        </w:rPr>
        <w:t xml:space="preserve">z 11 września 2019 r. – </w:t>
      </w:r>
      <w:proofErr w:type="spellStart"/>
      <w:r w:rsidR="00BD6947">
        <w:rPr>
          <w:rFonts w:eastAsiaTheme="minorEastAsia" w:cstheme="minorHAnsi"/>
          <w:color w:val="000000"/>
          <w:lang w:eastAsia="pl-PL"/>
        </w:rPr>
        <w:t>P</w:t>
      </w:r>
      <w:r w:rsidRPr="00EA49FE">
        <w:rPr>
          <w:rFonts w:eastAsiaTheme="minorEastAsia" w:cstheme="minorHAnsi"/>
          <w:color w:val="000000"/>
          <w:lang w:eastAsia="pl-PL"/>
        </w:rPr>
        <w:t>zp</w:t>
      </w:r>
      <w:proofErr w:type="spellEnd"/>
      <w:r>
        <w:rPr>
          <w:rFonts w:eastAsiaTheme="minorEastAsia" w:cstheme="minorHAnsi"/>
          <w:color w:val="000000"/>
          <w:lang w:eastAsia="pl-PL"/>
        </w:rPr>
        <w:t xml:space="preserve"> odrzuca ofertę wykonawcy, gdyż zaproponowany heł</w:t>
      </w:r>
      <w:r w:rsidR="00BD6947">
        <w:rPr>
          <w:rFonts w:eastAsiaTheme="minorEastAsia" w:cstheme="minorHAnsi"/>
          <w:color w:val="000000"/>
          <w:lang w:eastAsia="pl-PL"/>
        </w:rPr>
        <w:t>m kuloodporny jest niezgodny z </w:t>
      </w:r>
      <w:r>
        <w:rPr>
          <w:rFonts w:eastAsiaTheme="minorEastAsia" w:cstheme="minorHAnsi"/>
          <w:color w:val="000000"/>
          <w:lang w:eastAsia="pl-PL"/>
        </w:rPr>
        <w:t>warunkami zamówienia wymaganymi przez zamawiają</w:t>
      </w:r>
      <w:r w:rsidR="00BD6947">
        <w:rPr>
          <w:rFonts w:eastAsiaTheme="minorEastAsia" w:cstheme="minorHAnsi"/>
          <w:color w:val="000000"/>
          <w:lang w:eastAsia="pl-PL"/>
        </w:rPr>
        <w:t>cego.</w:t>
      </w:r>
    </w:p>
    <w:p w:rsidR="003C2375" w:rsidRPr="003C2375" w:rsidRDefault="003C2375" w:rsidP="003C2375">
      <w:pPr>
        <w:spacing w:after="200" w:line="276" w:lineRule="auto"/>
        <w:ind w:firstLine="708"/>
        <w:jc w:val="both"/>
        <w:outlineLvl w:val="1"/>
        <w:rPr>
          <w:rFonts w:eastAsiaTheme="minorEastAsia" w:cstheme="minorHAnsi"/>
          <w:color w:val="000000"/>
          <w:lang w:eastAsia="pl-PL"/>
        </w:rPr>
      </w:pPr>
    </w:p>
    <w:p w:rsidR="001A72F7" w:rsidRPr="001A72F7" w:rsidRDefault="000D4847" w:rsidP="00364635">
      <w:pPr>
        <w:pStyle w:val="wzory-tytul-2"/>
        <w:jc w:val="center"/>
        <w:rPr>
          <w:rFonts w:asciiTheme="minorHAnsi" w:cstheme="minorHAnsi"/>
          <w:b/>
          <w:sz w:val="22"/>
        </w:rPr>
      </w:pPr>
      <w:r>
        <w:rPr>
          <w:rFonts w:asciiTheme="minorHAnsi" w:cstheme="minorHAnsi"/>
          <w:b/>
          <w:sz w:val="22"/>
        </w:rPr>
        <w:t xml:space="preserve">Zawiadomienie </w:t>
      </w:r>
      <w:r w:rsidR="00A87BE5">
        <w:rPr>
          <w:rFonts w:asciiTheme="minorHAnsi" w:cstheme="minorHAnsi"/>
          <w:b/>
          <w:sz w:val="22"/>
        </w:rPr>
        <w:t xml:space="preserve">o </w:t>
      </w:r>
      <w:r w:rsidR="00937B3E" w:rsidRPr="005625EE">
        <w:rPr>
          <w:rFonts w:asciiTheme="minorHAnsi" w:cstheme="minorHAnsi"/>
          <w:b/>
          <w:sz w:val="22"/>
        </w:rPr>
        <w:t>uniew</w:t>
      </w:r>
      <w:r w:rsidR="00856F15">
        <w:rPr>
          <w:rFonts w:asciiTheme="minorHAnsi" w:cstheme="minorHAnsi"/>
          <w:b/>
          <w:sz w:val="22"/>
        </w:rPr>
        <w:t xml:space="preserve">ażnieniu postępowania w części </w:t>
      </w:r>
    </w:p>
    <w:p w:rsidR="009F038A" w:rsidRPr="008F0E43" w:rsidRDefault="001A72F7" w:rsidP="00F400EA">
      <w:pPr>
        <w:tabs>
          <w:tab w:val="left" w:pos="1309"/>
        </w:tabs>
        <w:spacing w:after="0" w:line="276" w:lineRule="auto"/>
        <w:ind w:firstLine="709"/>
        <w:jc w:val="both"/>
        <w:rPr>
          <w:rFonts w:cstheme="minorHAnsi"/>
          <w:color w:val="000000"/>
        </w:rPr>
      </w:pPr>
      <w:r w:rsidRPr="008F0E43">
        <w:rPr>
          <w:rFonts w:cstheme="minorHAnsi"/>
          <w:color w:val="000000"/>
        </w:rPr>
        <w:t>Zamawiający, działając na podstawie art. 260 ust. 1 i 2 ustawy Prawo zamówień publicznych</w:t>
      </w:r>
      <w:r w:rsidR="007D3F54">
        <w:rPr>
          <w:rFonts w:cstheme="minorHAnsi"/>
          <w:color w:val="000000"/>
        </w:rPr>
        <w:t xml:space="preserve"> </w:t>
      </w:r>
      <w:r w:rsidRPr="008F0E43">
        <w:rPr>
          <w:rFonts w:cstheme="minorHAnsi"/>
          <w:color w:val="000000"/>
        </w:rPr>
        <w:t>informuje, że ww. postępowanie o udzielenie zamówienia publ</w:t>
      </w:r>
      <w:r w:rsidR="007D3F54">
        <w:rPr>
          <w:rFonts w:cstheme="minorHAnsi"/>
          <w:color w:val="000000"/>
        </w:rPr>
        <w:t xml:space="preserve">icznego podlega unieważnieniu </w:t>
      </w:r>
      <w:r w:rsidR="00BC2F4A">
        <w:rPr>
          <w:rFonts w:cstheme="minorHAnsi"/>
          <w:color w:val="000000"/>
        </w:rPr>
        <w:t>nr Ds</w:t>
      </w:r>
      <w:r w:rsidR="00B27405">
        <w:rPr>
          <w:rFonts w:cstheme="minorHAnsi"/>
          <w:color w:val="000000"/>
        </w:rPr>
        <w:t>.7</w:t>
      </w:r>
      <w:r w:rsidR="00BC2F4A">
        <w:rPr>
          <w:rFonts w:cstheme="minorHAnsi"/>
          <w:color w:val="000000"/>
        </w:rPr>
        <w:t>/2024.</w:t>
      </w:r>
    </w:p>
    <w:p w:rsidR="009B6908" w:rsidRPr="008F0E43" w:rsidRDefault="009B6908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</w:p>
    <w:p w:rsidR="009B6908" w:rsidRPr="008F0E43" w:rsidRDefault="004838B7" w:rsidP="004838B7">
      <w:pPr>
        <w:tabs>
          <w:tab w:val="left" w:pos="1309"/>
        </w:tabs>
        <w:spacing w:after="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Uzasadnienie faktyczne</w:t>
      </w:r>
    </w:p>
    <w:p w:rsidR="006D5B80" w:rsidRPr="006D5B80" w:rsidRDefault="00A944B0" w:rsidP="00A944B0">
      <w:pPr>
        <w:tabs>
          <w:tab w:val="left" w:pos="1309"/>
        </w:tabs>
        <w:spacing w:after="0" w:line="276" w:lineRule="auto"/>
        <w:ind w:firstLine="709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Zgodnie z zawiadomieniem o odrzuceniu oferty w części I </w:t>
      </w:r>
      <w:proofErr w:type="spellStart"/>
      <w:r>
        <w:rPr>
          <w:rFonts w:eastAsia="Calibri" w:cstheme="minorHAnsi"/>
        </w:rPr>
        <w:t>i</w:t>
      </w:r>
      <w:proofErr w:type="spellEnd"/>
      <w:r>
        <w:rPr>
          <w:rFonts w:eastAsia="Calibri" w:cstheme="minorHAnsi"/>
        </w:rPr>
        <w:t xml:space="preserve"> II firmy </w:t>
      </w:r>
      <w:proofErr w:type="spellStart"/>
      <w:r w:rsidRPr="00A944B0">
        <w:rPr>
          <w:rFonts w:eastAsia="Calibri" w:cstheme="minorHAnsi"/>
        </w:rPr>
        <w:t>BulletProof</w:t>
      </w:r>
      <w:proofErr w:type="spellEnd"/>
      <w:r w:rsidRPr="00A944B0">
        <w:rPr>
          <w:rFonts w:eastAsia="Calibri" w:cstheme="minorHAnsi"/>
        </w:rPr>
        <w:t xml:space="preserve"> PPE Polska sp. z o.o.</w:t>
      </w:r>
      <w:r>
        <w:rPr>
          <w:rFonts w:eastAsia="Calibri" w:cstheme="minorHAnsi"/>
        </w:rPr>
        <w:t xml:space="preserve"> </w:t>
      </w:r>
      <w:r w:rsidR="00672AD5">
        <w:rPr>
          <w:rFonts w:eastAsia="Calibri" w:cstheme="minorHAnsi"/>
        </w:rPr>
        <w:t>z powodu braku poprawności złożenia przedmiotowych środków dowodowych</w:t>
      </w:r>
      <w:r w:rsidR="003C2375">
        <w:rPr>
          <w:rFonts w:eastAsia="Calibri" w:cstheme="minorHAnsi"/>
        </w:rPr>
        <w:t xml:space="preserve"> oraz odrzuceniem </w:t>
      </w:r>
      <w:r w:rsidR="004C170D">
        <w:rPr>
          <w:rFonts w:eastAsia="Calibri" w:cstheme="minorHAnsi"/>
        </w:rPr>
        <w:t xml:space="preserve">oferty w części II firmy MDH </w:t>
      </w:r>
      <w:proofErr w:type="spellStart"/>
      <w:r w:rsidR="004C170D">
        <w:rPr>
          <w:rFonts w:eastAsia="Calibri" w:cstheme="minorHAnsi"/>
        </w:rPr>
        <w:t>Protection</w:t>
      </w:r>
      <w:proofErr w:type="spellEnd"/>
      <w:r w:rsidR="004C170D">
        <w:rPr>
          <w:rFonts w:eastAsia="Calibri" w:cstheme="minorHAnsi"/>
        </w:rPr>
        <w:t xml:space="preserve"> sp. z o .o. z uwagi na niezgodność przedmiotu zamówienia w wymaganiami zamawiającego, Areszt Śledczy w Poznaniu unieważnia niniejsze postępowanie w części I </w:t>
      </w:r>
      <w:proofErr w:type="spellStart"/>
      <w:r w:rsidR="004C170D">
        <w:rPr>
          <w:rFonts w:eastAsia="Calibri" w:cstheme="minorHAnsi"/>
        </w:rPr>
        <w:t>i</w:t>
      </w:r>
      <w:proofErr w:type="spellEnd"/>
      <w:r w:rsidR="004C170D">
        <w:rPr>
          <w:rFonts w:eastAsia="Calibri" w:cstheme="minorHAnsi"/>
        </w:rPr>
        <w:t xml:space="preserve"> II.</w:t>
      </w:r>
    </w:p>
    <w:p w:rsidR="00A944B0" w:rsidRDefault="00A944B0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</w:p>
    <w:p w:rsidR="009B6908" w:rsidRPr="008F0E43" w:rsidRDefault="004838B7" w:rsidP="004838B7">
      <w:pPr>
        <w:tabs>
          <w:tab w:val="left" w:pos="1309"/>
        </w:tabs>
        <w:spacing w:after="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Uzasadnienie prawne</w:t>
      </w:r>
    </w:p>
    <w:p w:rsidR="009B6908" w:rsidRDefault="009B6908" w:rsidP="00F400EA">
      <w:pPr>
        <w:tabs>
          <w:tab w:val="left" w:pos="1309"/>
        </w:tabs>
        <w:spacing w:after="0" w:line="276" w:lineRule="auto"/>
        <w:ind w:firstLine="709"/>
        <w:jc w:val="both"/>
        <w:rPr>
          <w:rFonts w:eastAsia="Calibri" w:cstheme="minorHAnsi"/>
        </w:rPr>
      </w:pPr>
      <w:r w:rsidRPr="008F0E43">
        <w:rPr>
          <w:rFonts w:eastAsia="Calibri" w:cstheme="minorHAnsi"/>
        </w:rPr>
        <w:t>Pozstępowanie zostało unieważn</w:t>
      </w:r>
      <w:r w:rsidR="00CA318C">
        <w:rPr>
          <w:rFonts w:eastAsia="Calibri" w:cstheme="minorHAnsi"/>
        </w:rPr>
        <w:t>ione na podstawie art. 255 pkt 2</w:t>
      </w:r>
      <w:r w:rsidRPr="008F0E43">
        <w:rPr>
          <w:rFonts w:eastAsia="Calibri" w:cstheme="minorHAnsi"/>
        </w:rPr>
        <w:t xml:space="preserve"> ustawy </w:t>
      </w:r>
      <w:proofErr w:type="spellStart"/>
      <w:r w:rsidRPr="008F0E43">
        <w:rPr>
          <w:rFonts w:eastAsia="Calibri" w:cstheme="minorHAnsi"/>
        </w:rPr>
        <w:t>Pzp</w:t>
      </w:r>
      <w:proofErr w:type="spellEnd"/>
      <w:r w:rsidRPr="008F0E43">
        <w:rPr>
          <w:rFonts w:eastAsia="Calibri" w:cstheme="minorHAnsi"/>
        </w:rPr>
        <w:t>, który stanowi:</w:t>
      </w:r>
      <w:r w:rsidR="00CA318C">
        <w:rPr>
          <w:rFonts w:eastAsia="Calibri" w:cstheme="minorHAnsi"/>
        </w:rPr>
        <w:t xml:space="preserve"> </w:t>
      </w:r>
      <w:r w:rsidRPr="008F0E43">
        <w:rPr>
          <w:rFonts w:eastAsia="Calibri" w:cstheme="minorHAnsi"/>
        </w:rPr>
        <w:t>„Zamawiający unieważnia postępowanie o udzielenie zamówienia, jeżeli</w:t>
      </w:r>
      <w:r w:rsidR="00CA318C">
        <w:rPr>
          <w:rFonts w:eastAsia="Calibri" w:cstheme="minorHAnsi"/>
        </w:rPr>
        <w:t xml:space="preserve"> wszystkie złożone wnioski o dopuszczenie do udziału w postępowaniu albo oferty podlegają odrzuceniu</w:t>
      </w:r>
      <w:r w:rsidRPr="008F0E43">
        <w:rPr>
          <w:rFonts w:eastAsia="Calibri" w:cstheme="minorHAnsi"/>
        </w:rPr>
        <w:t>.”</w:t>
      </w:r>
    </w:p>
    <w:p w:rsidR="00397012" w:rsidRPr="00397012" w:rsidRDefault="003D3A71" w:rsidP="00F400EA">
      <w:pPr>
        <w:pStyle w:val="wzory-uzasadnienie"/>
        <w:ind w:firstLine="708"/>
        <w:jc w:val="both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sz w:val="22"/>
        </w:rPr>
        <w:t xml:space="preserve">Ponadto, Zamawiający informuje, iż od powyższej decyzji przysługują Wykonawcom środki ochrony prawnej, o których mowa w Dziale IX </w:t>
      </w:r>
      <w:proofErr w:type="spellStart"/>
      <w:r>
        <w:rPr>
          <w:rFonts w:asciiTheme="minorHAnsi" w:cstheme="minorHAnsi"/>
          <w:sz w:val="22"/>
        </w:rPr>
        <w:t>Pzp</w:t>
      </w:r>
      <w:proofErr w:type="spellEnd"/>
      <w:r w:rsidRPr="005625EE">
        <w:rPr>
          <w:rFonts w:asciiTheme="minorHAnsi" w:cstheme="minorHAnsi"/>
          <w:sz w:val="22"/>
        </w:rPr>
        <w:t>.</w:t>
      </w:r>
    </w:p>
    <w:p w:rsidR="003D3A71" w:rsidRDefault="003D3A71" w:rsidP="008F0E43">
      <w:pPr>
        <w:tabs>
          <w:tab w:val="left" w:pos="1309"/>
        </w:tabs>
        <w:spacing w:after="0" w:line="300" w:lineRule="exact"/>
        <w:jc w:val="both"/>
        <w:rPr>
          <w:rFonts w:eastAsia="Calibri" w:cstheme="minorHAnsi"/>
        </w:rPr>
      </w:pPr>
    </w:p>
    <w:p w:rsidR="003D3A71" w:rsidRPr="008F0E43" w:rsidRDefault="003D3A71" w:rsidP="008F0E43">
      <w:pPr>
        <w:tabs>
          <w:tab w:val="left" w:pos="1309"/>
        </w:tabs>
        <w:spacing w:after="0" w:line="300" w:lineRule="exact"/>
        <w:jc w:val="both"/>
        <w:rPr>
          <w:rFonts w:eastAsia="Calibri" w:cstheme="minorHAnsi"/>
        </w:rPr>
      </w:pPr>
    </w:p>
    <w:p w:rsidR="000A15AD" w:rsidRDefault="000A15AD" w:rsidP="000A15AD">
      <w:pPr>
        <w:tabs>
          <w:tab w:val="left" w:pos="1309"/>
        </w:tabs>
        <w:spacing w:after="0" w:line="240" w:lineRule="auto"/>
        <w:jc w:val="both"/>
        <w:rPr>
          <w:rFonts w:cs="Arial"/>
          <w:sz w:val="20"/>
          <w:u w:val="single"/>
        </w:rPr>
      </w:pPr>
    </w:p>
    <w:p w:rsidR="001A20F2" w:rsidRDefault="001A20F2" w:rsidP="000A15AD">
      <w:pPr>
        <w:tabs>
          <w:tab w:val="left" w:pos="1309"/>
        </w:tabs>
        <w:spacing w:after="0" w:line="240" w:lineRule="auto"/>
        <w:jc w:val="both"/>
        <w:rPr>
          <w:rFonts w:cs="Arial"/>
          <w:sz w:val="20"/>
          <w:u w:val="single"/>
        </w:rPr>
      </w:pPr>
    </w:p>
    <w:p w:rsidR="000F1F21" w:rsidRPr="00675A6F" w:rsidRDefault="000F1F21" w:rsidP="000A15AD">
      <w:pPr>
        <w:tabs>
          <w:tab w:val="left" w:pos="1309"/>
        </w:tabs>
        <w:spacing w:after="0" w:line="240" w:lineRule="auto"/>
        <w:jc w:val="both"/>
        <w:rPr>
          <w:rFonts w:cs="Arial"/>
          <w:sz w:val="20"/>
          <w:u w:val="single"/>
        </w:rPr>
      </w:pPr>
      <w:bookmarkStart w:id="0" w:name="_GoBack"/>
      <w:bookmarkEnd w:id="0"/>
      <w:r w:rsidRPr="00675A6F">
        <w:rPr>
          <w:rFonts w:cs="Arial"/>
          <w:sz w:val="20"/>
          <w:u w:val="single"/>
        </w:rPr>
        <w:t>Wykonano w 1 egz.:</w:t>
      </w:r>
    </w:p>
    <w:p w:rsidR="009B6908" w:rsidRPr="000F1F21" w:rsidRDefault="000F1F21" w:rsidP="000A15AD">
      <w:pPr>
        <w:tabs>
          <w:tab w:val="left" w:pos="1309"/>
        </w:tabs>
        <w:spacing w:after="0" w:line="240" w:lineRule="auto"/>
        <w:jc w:val="both"/>
        <w:rPr>
          <w:rFonts w:cs="Arial"/>
          <w:sz w:val="20"/>
        </w:rPr>
      </w:pPr>
      <w:r w:rsidRPr="00675A6F">
        <w:rPr>
          <w:rFonts w:cs="Arial"/>
          <w:sz w:val="20"/>
        </w:rPr>
        <w:t>Egz. nr 1 –</w:t>
      </w:r>
      <w:r>
        <w:rPr>
          <w:rFonts w:cs="Arial"/>
          <w:sz w:val="20"/>
        </w:rPr>
        <w:t xml:space="preserve"> </w:t>
      </w:r>
      <w:r w:rsidRPr="00675A6F">
        <w:rPr>
          <w:rFonts w:cs="Arial"/>
          <w:sz w:val="20"/>
        </w:rPr>
        <w:t>informacja umieszczona na stronie prowadzonego postępowania</w:t>
      </w:r>
      <w:r>
        <w:rPr>
          <w:rFonts w:cs="Arial"/>
          <w:sz w:val="20"/>
        </w:rPr>
        <w:t>, przesłana wykonawcom uczestniczącym w postępowaniu</w:t>
      </w:r>
    </w:p>
    <w:sectPr w:rsidR="009B6908" w:rsidRPr="000F1F21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3C" w:rsidRDefault="00512A3C">
      <w:pPr>
        <w:spacing w:after="0" w:line="240" w:lineRule="auto"/>
      </w:pPr>
      <w:r>
        <w:separator/>
      </w:r>
    </w:p>
  </w:endnote>
  <w:endnote w:type="continuationSeparator" w:id="0">
    <w:p w:rsidR="00512A3C" w:rsidRDefault="0051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1E" w:rsidRDefault="00AB706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375">
      <w:rPr>
        <w:noProof/>
      </w:rPr>
      <w:t>3</w:t>
    </w:r>
    <w:r>
      <w:rPr>
        <w:noProof/>
      </w:rPr>
      <w:fldChar w:fldCharType="end"/>
    </w:r>
  </w:p>
  <w:p w:rsidR="00914F1E" w:rsidRDefault="00512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3C" w:rsidRDefault="00512A3C">
      <w:pPr>
        <w:spacing w:after="0" w:line="240" w:lineRule="auto"/>
      </w:pPr>
      <w:r>
        <w:separator/>
      </w:r>
    </w:p>
  </w:footnote>
  <w:footnote w:type="continuationSeparator" w:id="0">
    <w:p w:rsidR="00512A3C" w:rsidRDefault="0051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25" w:rsidRDefault="00AB706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586897" w:rsidRPr="00E36FC1" w:rsidTr="000165A7">
      <w:tc>
        <w:tcPr>
          <w:tcW w:w="3281" w:type="dxa"/>
          <w:shd w:val="clear" w:color="auto" w:fill="auto"/>
        </w:tcPr>
        <w:p w:rsidR="00586897" w:rsidRDefault="001A75D0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586897" w:rsidRPr="000165A7" w:rsidRDefault="00AB706A" w:rsidP="000165A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Poznaniu</w:t>
          </w:r>
        </w:p>
        <w:p w:rsidR="00586897" w:rsidRPr="00E36FC1" w:rsidRDefault="00AB706A" w:rsidP="000165A7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</w:rPr>
            <w:t>61-729 Poznań</w:t>
          </w:r>
          <w:r w:rsidRPr="000165A7">
            <w:rPr>
              <w:color w:val="262626"/>
              <w:sz w:val="17"/>
              <w:szCs w:val="17"/>
            </w:rPr>
            <w:t xml:space="preserve">, ul. </w:t>
          </w:r>
          <w:proofErr w:type="spellStart"/>
          <w:r w:rsidRPr="00E36FC1">
            <w:rPr>
              <w:color w:val="262626"/>
              <w:sz w:val="17"/>
              <w:szCs w:val="17"/>
              <w:lang w:val="en-US"/>
            </w:rPr>
            <w:t>Młyńska</w:t>
          </w:r>
          <w:proofErr w:type="spellEnd"/>
          <w:r w:rsidRPr="00E36FC1">
            <w:rPr>
              <w:color w:val="262626"/>
              <w:sz w:val="17"/>
              <w:szCs w:val="17"/>
              <w:lang w:val="en-US"/>
            </w:rPr>
            <w:t xml:space="preserve"> 1</w:t>
          </w:r>
        </w:p>
        <w:p w:rsidR="00586897" w:rsidRPr="00E36FC1" w:rsidRDefault="00AB706A" w:rsidP="00D1087B">
          <w:pPr>
            <w:pStyle w:val="Nagwek"/>
            <w:tabs>
              <w:tab w:val="left" w:pos="3900"/>
            </w:tabs>
            <w:jc w:val="right"/>
            <w:rPr>
              <w:lang w:val="en-US"/>
            </w:rPr>
          </w:pPr>
          <w:r w:rsidRPr="00E36FC1">
            <w:rPr>
              <w:color w:val="262626"/>
              <w:sz w:val="17"/>
              <w:szCs w:val="17"/>
              <w:lang w:val="en-US"/>
            </w:rPr>
            <w:t>tel. 61 856 82 50, fax 61 856 82 52 , email: as_poznan@sw.gov.pl</w:t>
          </w:r>
        </w:p>
      </w:tc>
    </w:tr>
  </w:tbl>
  <w:p w:rsidR="004805D3" w:rsidRPr="00E36FC1" w:rsidRDefault="00512A3C" w:rsidP="00B63C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D06"/>
    <w:multiLevelType w:val="hybridMultilevel"/>
    <w:tmpl w:val="05B2EF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04BAE"/>
    <w:multiLevelType w:val="hybridMultilevel"/>
    <w:tmpl w:val="D2941980"/>
    <w:lvl w:ilvl="0" w:tplc="C63A59A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AE1C71"/>
    <w:multiLevelType w:val="hybridMultilevel"/>
    <w:tmpl w:val="C0447086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0"/>
    <w:rsid w:val="00006244"/>
    <w:rsid w:val="0003327E"/>
    <w:rsid w:val="00051423"/>
    <w:rsid w:val="000531EB"/>
    <w:rsid w:val="00053A0A"/>
    <w:rsid w:val="00081F9B"/>
    <w:rsid w:val="0008586F"/>
    <w:rsid w:val="000A15AD"/>
    <w:rsid w:val="000C5F0D"/>
    <w:rsid w:val="000D4847"/>
    <w:rsid w:val="000E72FC"/>
    <w:rsid w:val="000F1F21"/>
    <w:rsid w:val="000F7584"/>
    <w:rsid w:val="000F7D28"/>
    <w:rsid w:val="001071C2"/>
    <w:rsid w:val="00176D87"/>
    <w:rsid w:val="00190592"/>
    <w:rsid w:val="00197AC4"/>
    <w:rsid w:val="001A20F2"/>
    <w:rsid w:val="001A72F7"/>
    <w:rsid w:val="001A75D0"/>
    <w:rsid w:val="001B094C"/>
    <w:rsid w:val="001B52EE"/>
    <w:rsid w:val="001F16D5"/>
    <w:rsid w:val="002200AE"/>
    <w:rsid w:val="00221A23"/>
    <w:rsid w:val="002245F8"/>
    <w:rsid w:val="00236F74"/>
    <w:rsid w:val="00250CC6"/>
    <w:rsid w:val="00250FF0"/>
    <w:rsid w:val="002976E1"/>
    <w:rsid w:val="002B3063"/>
    <w:rsid w:val="002E145C"/>
    <w:rsid w:val="002E1A71"/>
    <w:rsid w:val="002E5975"/>
    <w:rsid w:val="002F7C59"/>
    <w:rsid w:val="003017B0"/>
    <w:rsid w:val="00357CD8"/>
    <w:rsid w:val="00363518"/>
    <w:rsid w:val="00363FA5"/>
    <w:rsid w:val="00364467"/>
    <w:rsid w:val="00364635"/>
    <w:rsid w:val="00364F12"/>
    <w:rsid w:val="00387C2E"/>
    <w:rsid w:val="00392C9C"/>
    <w:rsid w:val="00397012"/>
    <w:rsid w:val="003C2375"/>
    <w:rsid w:val="003D3A71"/>
    <w:rsid w:val="003E7E53"/>
    <w:rsid w:val="00422628"/>
    <w:rsid w:val="00437B2C"/>
    <w:rsid w:val="00440406"/>
    <w:rsid w:val="00441E4F"/>
    <w:rsid w:val="004838B7"/>
    <w:rsid w:val="00497201"/>
    <w:rsid w:val="00497D5A"/>
    <w:rsid w:val="004A51C9"/>
    <w:rsid w:val="004C170D"/>
    <w:rsid w:val="004C37E2"/>
    <w:rsid w:val="004E310A"/>
    <w:rsid w:val="004E5920"/>
    <w:rsid w:val="004F4911"/>
    <w:rsid w:val="004F57E4"/>
    <w:rsid w:val="00512A3C"/>
    <w:rsid w:val="00525629"/>
    <w:rsid w:val="00543B7B"/>
    <w:rsid w:val="00544E90"/>
    <w:rsid w:val="005625EE"/>
    <w:rsid w:val="00574BE8"/>
    <w:rsid w:val="005A703D"/>
    <w:rsid w:val="005E1168"/>
    <w:rsid w:val="006064A5"/>
    <w:rsid w:val="00617A19"/>
    <w:rsid w:val="00620146"/>
    <w:rsid w:val="00631A20"/>
    <w:rsid w:val="006335B7"/>
    <w:rsid w:val="0064406C"/>
    <w:rsid w:val="00652A5C"/>
    <w:rsid w:val="00672AD5"/>
    <w:rsid w:val="006A5F1B"/>
    <w:rsid w:val="006D5B80"/>
    <w:rsid w:val="006E4DFB"/>
    <w:rsid w:val="006F280A"/>
    <w:rsid w:val="006F3319"/>
    <w:rsid w:val="006F386D"/>
    <w:rsid w:val="006F4B8E"/>
    <w:rsid w:val="006F50B4"/>
    <w:rsid w:val="00704CE3"/>
    <w:rsid w:val="0074081E"/>
    <w:rsid w:val="00743AE6"/>
    <w:rsid w:val="007630FB"/>
    <w:rsid w:val="007808B0"/>
    <w:rsid w:val="00782610"/>
    <w:rsid w:val="007B2C84"/>
    <w:rsid w:val="007B7EDE"/>
    <w:rsid w:val="007C548C"/>
    <w:rsid w:val="007D3F54"/>
    <w:rsid w:val="007D7495"/>
    <w:rsid w:val="007F549D"/>
    <w:rsid w:val="00800EB6"/>
    <w:rsid w:val="00801DE3"/>
    <w:rsid w:val="00804DCC"/>
    <w:rsid w:val="00830B91"/>
    <w:rsid w:val="00832919"/>
    <w:rsid w:val="008354C5"/>
    <w:rsid w:val="008371FA"/>
    <w:rsid w:val="008474E1"/>
    <w:rsid w:val="00855715"/>
    <w:rsid w:val="00856F15"/>
    <w:rsid w:val="00871FFF"/>
    <w:rsid w:val="00894CF0"/>
    <w:rsid w:val="008C73CA"/>
    <w:rsid w:val="008E5B06"/>
    <w:rsid w:val="008F0E43"/>
    <w:rsid w:val="008F3A9D"/>
    <w:rsid w:val="00917575"/>
    <w:rsid w:val="009217D7"/>
    <w:rsid w:val="00922002"/>
    <w:rsid w:val="00922CE9"/>
    <w:rsid w:val="00937B3E"/>
    <w:rsid w:val="00952BE1"/>
    <w:rsid w:val="00953467"/>
    <w:rsid w:val="00961B05"/>
    <w:rsid w:val="00962375"/>
    <w:rsid w:val="00987911"/>
    <w:rsid w:val="009B16F7"/>
    <w:rsid w:val="009B6908"/>
    <w:rsid w:val="009D3CCE"/>
    <w:rsid w:val="009F038A"/>
    <w:rsid w:val="009F2217"/>
    <w:rsid w:val="00A1080B"/>
    <w:rsid w:val="00A20C59"/>
    <w:rsid w:val="00A22498"/>
    <w:rsid w:val="00A47E12"/>
    <w:rsid w:val="00A5022A"/>
    <w:rsid w:val="00A63D34"/>
    <w:rsid w:val="00A73BA6"/>
    <w:rsid w:val="00A87BE5"/>
    <w:rsid w:val="00A944B0"/>
    <w:rsid w:val="00AA1424"/>
    <w:rsid w:val="00AB706A"/>
    <w:rsid w:val="00AC145A"/>
    <w:rsid w:val="00AC77FA"/>
    <w:rsid w:val="00AE238F"/>
    <w:rsid w:val="00AE5B24"/>
    <w:rsid w:val="00B27405"/>
    <w:rsid w:val="00B32D0D"/>
    <w:rsid w:val="00B72F69"/>
    <w:rsid w:val="00B83D2E"/>
    <w:rsid w:val="00BB7937"/>
    <w:rsid w:val="00BC2F4A"/>
    <w:rsid w:val="00BD22D4"/>
    <w:rsid w:val="00BD6947"/>
    <w:rsid w:val="00BE0385"/>
    <w:rsid w:val="00BE38F7"/>
    <w:rsid w:val="00BF005E"/>
    <w:rsid w:val="00C00FB7"/>
    <w:rsid w:val="00C20991"/>
    <w:rsid w:val="00C277BD"/>
    <w:rsid w:val="00C37201"/>
    <w:rsid w:val="00C64BA3"/>
    <w:rsid w:val="00C871D0"/>
    <w:rsid w:val="00C96FA9"/>
    <w:rsid w:val="00CA318C"/>
    <w:rsid w:val="00CA32A5"/>
    <w:rsid w:val="00CC540A"/>
    <w:rsid w:val="00CF18C8"/>
    <w:rsid w:val="00D211CA"/>
    <w:rsid w:val="00D268E5"/>
    <w:rsid w:val="00D90BD7"/>
    <w:rsid w:val="00DB3EA4"/>
    <w:rsid w:val="00DC1758"/>
    <w:rsid w:val="00DC217E"/>
    <w:rsid w:val="00DC5851"/>
    <w:rsid w:val="00DD2F89"/>
    <w:rsid w:val="00DE1897"/>
    <w:rsid w:val="00DE7EC1"/>
    <w:rsid w:val="00DF1634"/>
    <w:rsid w:val="00DF5AAC"/>
    <w:rsid w:val="00DF675B"/>
    <w:rsid w:val="00DF78B3"/>
    <w:rsid w:val="00E002AF"/>
    <w:rsid w:val="00E04ADF"/>
    <w:rsid w:val="00E207FA"/>
    <w:rsid w:val="00E30C2F"/>
    <w:rsid w:val="00E32A03"/>
    <w:rsid w:val="00E439E1"/>
    <w:rsid w:val="00EA49FE"/>
    <w:rsid w:val="00EB45B8"/>
    <w:rsid w:val="00EB47F1"/>
    <w:rsid w:val="00EB763F"/>
    <w:rsid w:val="00ED505B"/>
    <w:rsid w:val="00ED68FA"/>
    <w:rsid w:val="00F11454"/>
    <w:rsid w:val="00F400EA"/>
    <w:rsid w:val="00F70C31"/>
    <w:rsid w:val="00FB3C10"/>
    <w:rsid w:val="00FB6B73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5D0"/>
  </w:style>
  <w:style w:type="paragraph" w:styleId="Stopka">
    <w:name w:val="footer"/>
    <w:basedOn w:val="Normalny"/>
    <w:link w:val="StopkaZnak"/>
    <w:uiPriority w:val="99"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5D0"/>
  </w:style>
  <w:style w:type="paragraph" w:styleId="Tekstdymka">
    <w:name w:val="Balloon Text"/>
    <w:basedOn w:val="Normalny"/>
    <w:link w:val="TekstdymkaZnak"/>
    <w:uiPriority w:val="99"/>
    <w:semiHidden/>
    <w:unhideWhenUsed/>
    <w:rsid w:val="00AB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06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3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C10"/>
    <w:pPr>
      <w:ind w:left="720"/>
      <w:contextualSpacing/>
    </w:pPr>
  </w:style>
  <w:style w:type="paragraph" w:styleId="Bezodstpw">
    <w:name w:val="No Spacing"/>
    <w:uiPriority w:val="1"/>
    <w:qFormat/>
    <w:rsid w:val="00DD2F8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32D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y-adresy">
    <w:name w:val="wzory-adresy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wzory-data">
    <w:name w:val="wzory-data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podtytul">
    <w:name w:val="wzory-podtytul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sad">
    <w:name w:val="wzory-sad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tekst">
    <w:name w:val="wzory-tekst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uzasadnienie">
    <w:name w:val="wzory-uzasadnienie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Default">
    <w:name w:val="Default"/>
    <w:rsid w:val="00922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5D0"/>
  </w:style>
  <w:style w:type="paragraph" w:styleId="Stopka">
    <w:name w:val="footer"/>
    <w:basedOn w:val="Normalny"/>
    <w:link w:val="StopkaZnak"/>
    <w:uiPriority w:val="99"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5D0"/>
  </w:style>
  <w:style w:type="paragraph" w:styleId="Tekstdymka">
    <w:name w:val="Balloon Text"/>
    <w:basedOn w:val="Normalny"/>
    <w:link w:val="TekstdymkaZnak"/>
    <w:uiPriority w:val="99"/>
    <w:semiHidden/>
    <w:unhideWhenUsed/>
    <w:rsid w:val="00AB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06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3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C10"/>
    <w:pPr>
      <w:ind w:left="720"/>
      <w:contextualSpacing/>
    </w:pPr>
  </w:style>
  <w:style w:type="paragraph" w:styleId="Bezodstpw">
    <w:name w:val="No Spacing"/>
    <w:uiPriority w:val="1"/>
    <w:qFormat/>
    <w:rsid w:val="00DD2F8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32D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y-adresy">
    <w:name w:val="wzory-adresy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wzory-data">
    <w:name w:val="wzory-data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podtytul">
    <w:name w:val="wzory-podtytul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sad">
    <w:name w:val="wzory-sad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tekst">
    <w:name w:val="wzory-tekst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uzasadnienie">
    <w:name w:val="wzory-uzasadnienie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Default">
    <w:name w:val="Default"/>
    <w:rsid w:val="00922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Sobańska</dc:creator>
  <cp:lastModifiedBy>Izabela Matyba</cp:lastModifiedBy>
  <cp:revision>69</cp:revision>
  <cp:lastPrinted>2024-09-16T11:04:00Z</cp:lastPrinted>
  <dcterms:created xsi:type="dcterms:W3CDTF">2024-09-13T10:52:00Z</dcterms:created>
  <dcterms:modified xsi:type="dcterms:W3CDTF">2024-09-16T11:10:00Z</dcterms:modified>
</cp:coreProperties>
</file>