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0F652FA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948E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28D62428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</w:t>
      </w:r>
      <w:r w:rsidR="004948E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4948E1">
        <w:rPr>
          <w:rFonts w:asciiTheme="minorHAnsi" w:hAnsiTheme="minorHAnsi" w:cstheme="minorHAnsi"/>
          <w:b/>
          <w:bCs/>
          <w:sz w:val="22"/>
          <w:szCs w:val="22"/>
        </w:rPr>
        <w:t>aparat do barwienia preparatów</w:t>
      </w:r>
      <w:r w:rsidR="00B329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32103114" w:rsidR="00596BFD" w:rsidRPr="00596BFD" w:rsidRDefault="004948E1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8E1">
              <w:rPr>
                <w:rFonts w:asciiTheme="minorHAnsi" w:hAnsiTheme="minorHAnsi" w:cstheme="minorHAnsi"/>
                <w:sz w:val="20"/>
                <w:szCs w:val="20"/>
              </w:rPr>
              <w:t>Aparat w pełni automatyczny, wykonujący utrwalanie,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8E1">
              <w:rPr>
                <w:rFonts w:asciiTheme="minorHAnsi" w:hAnsiTheme="minorHAnsi" w:cstheme="minorHAnsi"/>
                <w:sz w:val="20"/>
                <w:szCs w:val="20"/>
              </w:rPr>
              <w:t>barwienie i suszenie preparatów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ED5452A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Rotor na 12 preparatów z możliwością zmiany rotora na 30 szkiełek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386C2C9D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 xml:space="preserve">Typ rotora – wyjmowany z aparatu do wkładania szkiełek, czyszczenia czy zmiany na </w:t>
            </w:r>
            <w:proofErr w:type="spellStart"/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cytowirówkę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220EEC6A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Barwienie pojedynczych preparatów lub w seriach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650BFE23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Natryskowa metoda nanoszenia barwnika na preparat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206FAFA0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Całość procesów zachodząca w zamkniętym aparacie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547A8739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Oprogramowanie aparatu umożliwiające dostosowanie ilości zużywanych odczynników do grubości preparatu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50431E8C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Monitorowanie zużycia odczynników przez aparat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532D1FF8" w:rsidR="00596BFD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="00596BF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309FC342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Monitorowanie przez aparat poziomu napełnienia kontenera na odpady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288B4B9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A3DF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6E044321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Alarmy przy zbyt małej objętości odczynników lub przepełnionego pojemnika na odpady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CD2D18" w:rsidRPr="00CB152B" w14:paraId="3C0E0E2A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4FDA3DF9" w:rsidR="00CD2D18" w:rsidRDefault="00CD2D18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A3DF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49BA802C" w:rsidR="00CD2D18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Oddzielne dla każdego odczynnika zasobnik, rurka zasilająca, pompa i dysza spryskująca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77777777" w:rsidR="00CD2D18" w:rsidRPr="00CB152B" w:rsidRDefault="00CD2D18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CD2D18">
        <w:trPr>
          <w:trHeight w:val="43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43C529B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A3DF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45D21CE2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Automatyczne czyszczenie dysz i łatwa konserwacja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4E0E7E86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2A3DF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3FB356DA" w:rsidR="00596BFD" w:rsidRPr="00596BFD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Informacja o postępie procesu dostępna na wyświetlaczu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64C6CE31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5FC" w14:textId="5B477C28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1A7" w14:textId="7AA91CC8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Całkowity cykl barwienia trwający nie dłużej niż 10 minut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3A0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2C881F5C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CEF" w14:textId="322028A7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428" w14:textId="1E969F35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Brak bezpośredniego kontaktu operatora z odczynnikami podczas procesu barwienia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960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195E1219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085" w14:textId="3B0813A2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9A7" w14:textId="4B300113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Odczynniki stosowane do barwienia umieszczone w szczelnie zamkniętych pojemnikach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59D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4B6ED260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2FE2" w14:textId="7546740A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7CC" w14:textId="15E522DA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Zużyte barwniki zbierane automatycznie do jednego pojemnika przeznaczonego do utylizacji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DE0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083BB856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1C" w14:textId="0300FB01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458" w14:textId="26E67836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Zapasowe dysze natryskowe, min.5 sztuk.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B73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71FCF289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7D77" w14:textId="15758CB9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705" w14:textId="1AB66079" w:rsidR="002A3DF7" w:rsidRPr="002A3DF7" w:rsidRDefault="002A3DF7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DF7">
              <w:rPr>
                <w:rFonts w:asciiTheme="minorHAnsi" w:hAnsiTheme="minorHAnsi" w:cstheme="minorHAnsi"/>
                <w:sz w:val="20"/>
                <w:szCs w:val="20"/>
              </w:rPr>
              <w:t xml:space="preserve">Możliwość zamontowania rotora do </w:t>
            </w:r>
            <w:proofErr w:type="spellStart"/>
            <w:r w:rsidRPr="002A3DF7">
              <w:rPr>
                <w:rFonts w:asciiTheme="minorHAnsi" w:hAnsiTheme="minorHAnsi" w:cstheme="minorHAnsi"/>
                <w:sz w:val="20"/>
                <w:szCs w:val="20"/>
              </w:rPr>
              <w:t>cytowirowania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E05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A3DF7" w:rsidRPr="00CB152B" w14:paraId="575C2712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6F4" w14:textId="20812D20" w:rsidR="002A3DF7" w:rsidRDefault="002A3DF7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96AF" w14:textId="1FB0B143" w:rsidR="002A3DF7" w:rsidRPr="002A3DF7" w:rsidRDefault="00A00435" w:rsidP="00A00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35">
              <w:rPr>
                <w:rFonts w:asciiTheme="minorHAnsi" w:hAnsiTheme="minorHAnsi" w:cstheme="minorHAnsi"/>
                <w:sz w:val="20"/>
                <w:szCs w:val="20"/>
              </w:rPr>
              <w:t>Parametry oferowanego urządzenia  potwierdzone dołączonym do oferty oryginalnym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0435">
              <w:rPr>
                <w:rFonts w:asciiTheme="minorHAnsi" w:hAnsiTheme="minorHAnsi" w:cstheme="minorHAnsi"/>
                <w:sz w:val="20"/>
                <w:szCs w:val="20"/>
              </w:rPr>
              <w:t>prospektem producenta, certyfikatami oraz instrukcją techniczną aparatu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B76" w14:textId="77777777" w:rsidR="002A3DF7" w:rsidRPr="00CB152B" w:rsidRDefault="002A3DF7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00435" w:rsidRPr="00CB152B" w14:paraId="69E15438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580" w14:textId="186C54FA" w:rsidR="00A00435" w:rsidRDefault="00A00435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82F" w14:textId="7BA9256E" w:rsidR="00A00435" w:rsidRPr="00A00435" w:rsidRDefault="00A00435" w:rsidP="00A004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435">
              <w:rPr>
                <w:rFonts w:asciiTheme="minorHAnsi" w:hAnsiTheme="minorHAnsi" w:cstheme="minorHAnsi"/>
                <w:sz w:val="20"/>
                <w:szCs w:val="20"/>
              </w:rPr>
              <w:t>Aparat posiadający znak CE, IVD oraz aktualny certyfikat ISO 9001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00435">
              <w:rPr>
                <w:rFonts w:asciiTheme="minorHAnsi" w:hAnsiTheme="minorHAnsi" w:cstheme="minorHAnsi"/>
                <w:sz w:val="20"/>
                <w:szCs w:val="20"/>
              </w:rPr>
              <w:t>2015 w zakresie sprzedaży,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0435">
              <w:rPr>
                <w:rFonts w:asciiTheme="minorHAnsi" w:hAnsiTheme="minorHAnsi" w:cstheme="minorHAnsi"/>
                <w:sz w:val="20"/>
                <w:szCs w:val="20"/>
              </w:rPr>
              <w:t>dystrybucji, usługi serwisu technicznego oraz konsultacji i szkoleń w zakresie wyrobów do diagnostyki in vitro (odczynniki, aparaty, oprogramowanie) dla laboratoriów klinicznych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8DE5" w14:textId="77777777" w:rsidR="00A00435" w:rsidRPr="00CB152B" w:rsidRDefault="00A00435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4377B998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B4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A3DF7"/>
    <w:rsid w:val="002B2A36"/>
    <w:rsid w:val="00360AA9"/>
    <w:rsid w:val="00364BA0"/>
    <w:rsid w:val="003D5FFF"/>
    <w:rsid w:val="003F622F"/>
    <w:rsid w:val="00450F5E"/>
    <w:rsid w:val="004923A3"/>
    <w:rsid w:val="004948E1"/>
    <w:rsid w:val="00545473"/>
    <w:rsid w:val="005571E4"/>
    <w:rsid w:val="00596BFD"/>
    <w:rsid w:val="00607312"/>
    <w:rsid w:val="00660753"/>
    <w:rsid w:val="00687BC3"/>
    <w:rsid w:val="007631AA"/>
    <w:rsid w:val="007716E2"/>
    <w:rsid w:val="00787B4C"/>
    <w:rsid w:val="007A659B"/>
    <w:rsid w:val="007B7481"/>
    <w:rsid w:val="007E47B6"/>
    <w:rsid w:val="00806170"/>
    <w:rsid w:val="008F7993"/>
    <w:rsid w:val="00A00435"/>
    <w:rsid w:val="00A530BD"/>
    <w:rsid w:val="00AB2A0C"/>
    <w:rsid w:val="00AD20B4"/>
    <w:rsid w:val="00B329EB"/>
    <w:rsid w:val="00B54F87"/>
    <w:rsid w:val="00BB0763"/>
    <w:rsid w:val="00C61C27"/>
    <w:rsid w:val="00C72AF1"/>
    <w:rsid w:val="00C74500"/>
    <w:rsid w:val="00CB152B"/>
    <w:rsid w:val="00CC07C0"/>
    <w:rsid w:val="00CC2945"/>
    <w:rsid w:val="00CD2D18"/>
    <w:rsid w:val="00D14C18"/>
    <w:rsid w:val="00D25389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documentManagement/types"/>
    <ds:schemaRef ds:uri="http://purl.org/dc/dcmitype/"/>
    <ds:schemaRef ds:uri="8d7f34ec-9741-4b79-a27d-5e7851a777a5"/>
    <ds:schemaRef ds:uri="http://purl.org/dc/terms/"/>
    <ds:schemaRef ds:uri="http://schemas.microsoft.com/office/2006/metadata/properties"/>
    <ds:schemaRef ds:uri="ac2bcd6b-1cfb-4024-b694-1e96efe825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user</cp:lastModifiedBy>
  <cp:revision>4</cp:revision>
  <cp:lastPrinted>2020-11-23T06:37:00Z</cp:lastPrinted>
  <dcterms:created xsi:type="dcterms:W3CDTF">2021-04-07T11:43:00Z</dcterms:created>
  <dcterms:modified xsi:type="dcterms:W3CDTF">2021-05-10T09:47:00Z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