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F4" w:rsidRPr="00D446D7" w:rsidRDefault="00856FF4" w:rsidP="00D446D7">
      <w:pPr>
        <w:spacing w:after="120" w:line="276" w:lineRule="auto"/>
        <w:jc w:val="center"/>
        <w:rPr>
          <w:rFonts w:cstheme="minorHAnsi"/>
          <w:b/>
        </w:rPr>
      </w:pPr>
      <w:r w:rsidRPr="00D446D7">
        <w:rPr>
          <w:rFonts w:cstheme="minorHAnsi"/>
          <w:b/>
        </w:rPr>
        <w:t>SPECYFIKACJA TECHNICZNA WYKONANIA I ODBIORU ROBÓT BUDOWLANYCH</w:t>
      </w:r>
    </w:p>
    <w:p w:rsidR="00856FF4" w:rsidRPr="00D446D7" w:rsidRDefault="00856FF4" w:rsidP="00D446D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>SIEĆ</w:t>
      </w:r>
      <w:r w:rsidR="00565315" w:rsidRPr="00D446D7">
        <w:rPr>
          <w:rFonts w:cstheme="minorHAnsi"/>
          <w:b/>
          <w:u w:val="single"/>
        </w:rPr>
        <w:t xml:space="preserve"> </w:t>
      </w:r>
      <w:r w:rsidRPr="00D446D7">
        <w:rPr>
          <w:rFonts w:cstheme="minorHAnsi"/>
          <w:b/>
          <w:u w:val="single"/>
        </w:rPr>
        <w:t>KANALIZACJI SANITARNEJ</w:t>
      </w:r>
    </w:p>
    <w:p w:rsidR="00B618AA" w:rsidRPr="00D446D7" w:rsidRDefault="00856FF4" w:rsidP="00D446D7">
      <w:pPr>
        <w:pStyle w:val="Akapitzlist"/>
        <w:numPr>
          <w:ilvl w:val="0"/>
          <w:numId w:val="2"/>
        </w:numPr>
        <w:spacing w:before="120" w:after="120" w:line="276" w:lineRule="auto"/>
        <w:ind w:left="284" w:hanging="295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Część ogólna </w:t>
      </w:r>
    </w:p>
    <w:p w:rsidR="00856FF4" w:rsidRPr="00D446D7" w:rsidRDefault="00856FF4" w:rsidP="00D446D7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cstheme="minorHAnsi"/>
          <w:b/>
        </w:rPr>
      </w:pPr>
      <w:r w:rsidRPr="00D446D7">
        <w:rPr>
          <w:rFonts w:cstheme="minorHAnsi"/>
          <w:b/>
        </w:rPr>
        <w:t xml:space="preserve">Nazwa nadana zamówieniu przez Zamawiającego </w:t>
      </w:r>
    </w:p>
    <w:p w:rsidR="00856FF4" w:rsidRPr="00D446D7" w:rsidRDefault="0047645B" w:rsidP="00D446D7">
      <w:pPr>
        <w:spacing w:after="120" w:line="276" w:lineRule="auto"/>
        <w:ind w:left="426"/>
        <w:jc w:val="both"/>
        <w:rPr>
          <w:rFonts w:cstheme="minorHAnsi"/>
        </w:rPr>
      </w:pPr>
      <w:r w:rsidRPr="00D446D7">
        <w:rPr>
          <w:rFonts w:cstheme="minorHAnsi"/>
          <w:b/>
          <w:snapToGrid w:val="0"/>
        </w:rPr>
        <w:t>„</w:t>
      </w:r>
      <w:r w:rsidRPr="00D446D7">
        <w:rPr>
          <w:rFonts w:cstheme="minorHAnsi"/>
          <w:b/>
        </w:rPr>
        <w:t>Budowa</w:t>
      </w:r>
      <w:r w:rsidR="00D446D7">
        <w:rPr>
          <w:rFonts w:cstheme="minorHAnsi"/>
          <w:b/>
        </w:rPr>
        <w:t xml:space="preserve"> sieci kanalizacji sanitarnej w</w:t>
      </w:r>
      <w:r w:rsidRPr="00D446D7">
        <w:rPr>
          <w:rFonts w:cstheme="minorHAnsi"/>
          <w:b/>
        </w:rPr>
        <w:t xml:space="preserve"> ul. Maciejkowej w Grudziądzu (dz. nr 11 </w:t>
      </w:r>
      <w:proofErr w:type="spellStart"/>
      <w:r w:rsidRPr="00D446D7">
        <w:rPr>
          <w:rFonts w:cstheme="minorHAnsi"/>
          <w:b/>
        </w:rPr>
        <w:t>obr</w:t>
      </w:r>
      <w:proofErr w:type="spellEnd"/>
      <w:r w:rsidRPr="00D446D7">
        <w:rPr>
          <w:rFonts w:cstheme="minorHAnsi"/>
          <w:b/>
        </w:rPr>
        <w:t>. 159)”.</w:t>
      </w:r>
    </w:p>
    <w:p w:rsidR="00856FF4" w:rsidRPr="00D446D7" w:rsidRDefault="00856FF4" w:rsidP="00D446D7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rFonts w:cstheme="minorHAnsi"/>
          <w:b/>
        </w:rPr>
      </w:pPr>
      <w:r w:rsidRPr="00D446D7">
        <w:rPr>
          <w:rFonts w:cstheme="minorHAnsi"/>
          <w:b/>
        </w:rPr>
        <w:t xml:space="preserve">Przedmiot i zakres robót budowlanych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Przedmiotem niniejszej specyfikacji są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wymagania dotyczące wykonania i odbioru robót polegających na budowie sieci kanalizacji sanitarnej: </w:t>
      </w:r>
    </w:p>
    <w:p w:rsidR="00B618AA" w:rsidRPr="00D446D7" w:rsidRDefault="00856FF4" w:rsidP="00D446D7">
      <w:pPr>
        <w:pStyle w:val="Akapitzlist"/>
        <w:numPr>
          <w:ilvl w:val="0"/>
          <w:numId w:val="4"/>
        </w:numPr>
        <w:spacing w:after="120" w:line="276" w:lineRule="auto"/>
        <w:ind w:left="567" w:hanging="218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kanałów grawitacyjnych  φ200mm z rur PVC-U klasy SN8 (8kN/m</w:t>
      </w:r>
      <w:r w:rsidRPr="00D446D7">
        <w:rPr>
          <w:rFonts w:cstheme="minorHAnsi"/>
          <w:vertAlign w:val="superscript"/>
        </w:rPr>
        <w:t>2</w:t>
      </w:r>
      <w:r w:rsidR="00D446D7">
        <w:rPr>
          <w:rFonts w:cstheme="minorHAnsi"/>
        </w:rPr>
        <w:t xml:space="preserve">) SDR34, kielichowych, </w:t>
      </w:r>
      <w:r w:rsidR="00D446D7">
        <w:rPr>
          <w:rFonts w:cstheme="minorHAnsi"/>
        </w:rPr>
        <w:br/>
        <w:t xml:space="preserve">o </w:t>
      </w:r>
      <w:r w:rsidRPr="00D446D7">
        <w:rPr>
          <w:rFonts w:cstheme="minorHAnsi"/>
        </w:rPr>
        <w:t xml:space="preserve">ściankach litych, łączonych na uszczelki gumowe </w:t>
      </w:r>
    </w:p>
    <w:p w:rsidR="00B618AA" w:rsidRPr="00D446D7" w:rsidRDefault="00856FF4" w:rsidP="00D446D7">
      <w:pPr>
        <w:pStyle w:val="Akapitzlist"/>
        <w:numPr>
          <w:ilvl w:val="0"/>
          <w:numId w:val="4"/>
        </w:numPr>
        <w:spacing w:after="120" w:line="276" w:lineRule="auto"/>
        <w:ind w:left="567" w:hanging="218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studzienek połączeniowych i rewizyjnych z kręgów żelbetowych φ1200mm </w:t>
      </w:r>
    </w:p>
    <w:p w:rsidR="00E55B64" w:rsidRPr="00D446D7" w:rsidRDefault="00E55B64" w:rsidP="00D446D7">
      <w:pPr>
        <w:pStyle w:val="Akapitzlist"/>
        <w:numPr>
          <w:ilvl w:val="0"/>
          <w:numId w:val="4"/>
        </w:numPr>
        <w:spacing w:after="120" w:line="276" w:lineRule="auto"/>
        <w:ind w:left="567" w:hanging="218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włączeń pod przyszłe przyłącza kanalizacji sanitarnej z kształtek PVC-U klasy SN8 (8kN/m</w:t>
      </w:r>
      <w:r w:rsidRPr="00D446D7">
        <w:rPr>
          <w:rFonts w:cstheme="minorHAnsi"/>
          <w:vertAlign w:val="superscript"/>
        </w:rPr>
        <w:t>2</w:t>
      </w:r>
      <w:r w:rsidRPr="00D446D7">
        <w:rPr>
          <w:rFonts w:cstheme="minorHAnsi"/>
        </w:rPr>
        <w:t>) SDR34</w:t>
      </w:r>
    </w:p>
    <w:p w:rsidR="00B618AA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 xml:space="preserve">Zakres robót przy wykonywaniu sieci kanalizacji sanitarnej obejmuje: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oznakowanie robót,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dostawę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materiałów,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wykonanie prac przygotowawczych,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wykonanie wykopu wraz z umocnieniem ścian wykopu,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przygotowanie podłoża pod przewody i obiekty na sieci,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ułożenie przewodów kanalizacyjnych, studni kanalizacyjnych, </w:t>
      </w:r>
    </w:p>
    <w:p w:rsidR="00B618AA" w:rsidRPr="00D446D7" w:rsidRDefault="00565315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montaż na przewodach kanalizacyjnych trójników oraz przejść szczelnych w studniach </w:t>
      </w:r>
      <w:r w:rsidR="002F646B" w:rsidRPr="00D446D7">
        <w:rPr>
          <w:rFonts w:cstheme="minorHAnsi"/>
        </w:rPr>
        <w:t>kanalizacyjnych;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zasypanie i zagęszczenie wykopu z demontażem umocnień  ścian wykopu, </w:t>
      </w:r>
    </w:p>
    <w:p w:rsidR="00B618AA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0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odtw</w:t>
      </w:r>
      <w:r w:rsidR="00565315" w:rsidRPr="00D446D7">
        <w:rPr>
          <w:rFonts w:cstheme="minorHAnsi"/>
        </w:rPr>
        <w:t>orzenie nawierzchni po robotach,</w:t>
      </w:r>
      <w:r w:rsidR="00E55B64" w:rsidRPr="00D446D7">
        <w:rPr>
          <w:rFonts w:cstheme="minorHAnsi"/>
        </w:rPr>
        <w:t xml:space="preserve"> inwentaryzacja</w:t>
      </w:r>
    </w:p>
    <w:p w:rsidR="00E55B64" w:rsidRPr="00D446D7" w:rsidRDefault="00856FF4" w:rsidP="00D446D7">
      <w:pPr>
        <w:pStyle w:val="Akapitzlist"/>
        <w:numPr>
          <w:ilvl w:val="0"/>
          <w:numId w:val="5"/>
        </w:numPr>
        <w:spacing w:after="120" w:line="276" w:lineRule="auto"/>
        <w:ind w:left="567" w:hanging="210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przeprowadzenie badań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wymaganych w specyfikacji technicznej. </w:t>
      </w:r>
    </w:p>
    <w:p w:rsidR="00856FF4" w:rsidRPr="00D446D7" w:rsidRDefault="00856FF4" w:rsidP="00D446D7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cstheme="minorHAnsi"/>
          <w:b/>
        </w:rPr>
      </w:pPr>
      <w:r w:rsidRPr="00D446D7">
        <w:rPr>
          <w:rFonts w:cstheme="minorHAnsi"/>
          <w:b/>
        </w:rPr>
        <w:t xml:space="preserve">Wyszczególnienie i opis prac towarzyszących i robót tymczasowych </w:t>
      </w:r>
    </w:p>
    <w:p w:rsidR="00E55B6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W ramach prac towarzyszących Wykonawca zobowiązany jest do</w:t>
      </w:r>
      <w:r w:rsidR="00E55B64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opracowania projektu or</w:t>
      </w:r>
      <w:r w:rsidR="00E55B64" w:rsidRPr="00D446D7">
        <w:rPr>
          <w:rFonts w:cstheme="minorHAnsi"/>
        </w:rPr>
        <w:t xml:space="preserve">ganizacji ruchu na czas budowy. </w:t>
      </w:r>
      <w:r w:rsidRPr="00D446D7">
        <w:rPr>
          <w:rFonts w:cstheme="minorHAnsi"/>
        </w:rPr>
        <w:t xml:space="preserve">Pozostałe prace towarzyszące oraz prace tymczasowe określi Wykonawca w zależności od przyjętej technologii wykonania robót. </w:t>
      </w:r>
    </w:p>
    <w:p w:rsidR="00856FF4" w:rsidRPr="00D446D7" w:rsidRDefault="00856FF4" w:rsidP="00D446D7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cstheme="minorHAnsi"/>
          <w:b/>
        </w:rPr>
      </w:pPr>
      <w:r w:rsidRPr="00D446D7">
        <w:rPr>
          <w:rFonts w:cstheme="minorHAnsi"/>
          <w:b/>
        </w:rPr>
        <w:t xml:space="preserve">Informacje o terenie budowy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Terenem budowy dla zrealizowania zamierzenia są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grunty będące głównie własnością</w:t>
      </w:r>
      <w:r w:rsidR="00565315" w:rsidRPr="00D446D7">
        <w:rPr>
          <w:rFonts w:cstheme="minorHAnsi"/>
        </w:rPr>
        <w:t xml:space="preserve"> Gminy Miasta Grudziądza. </w:t>
      </w:r>
      <w:r w:rsidRPr="00D446D7">
        <w:rPr>
          <w:rFonts w:cstheme="minorHAnsi"/>
        </w:rPr>
        <w:t>Teren objęty niniejszą</w:t>
      </w:r>
      <w:r w:rsidR="00565315" w:rsidRPr="00D446D7">
        <w:rPr>
          <w:rFonts w:cstheme="minorHAnsi"/>
        </w:rPr>
        <w:t xml:space="preserve">  </w:t>
      </w:r>
      <w:r w:rsidRPr="00D446D7">
        <w:rPr>
          <w:rFonts w:cstheme="minorHAnsi"/>
        </w:rPr>
        <w:t>inwestycją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posiada podziemną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i </w:t>
      </w:r>
      <w:r w:rsidR="00565315" w:rsidRPr="00D446D7">
        <w:rPr>
          <w:rFonts w:cstheme="minorHAnsi"/>
        </w:rPr>
        <w:t>n</w:t>
      </w:r>
      <w:r w:rsidRPr="00D446D7">
        <w:rPr>
          <w:rFonts w:cstheme="minorHAnsi"/>
        </w:rPr>
        <w:t>adziemną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infrastrukturę</w:t>
      </w:r>
      <w:r w:rsidR="00565315" w:rsidRPr="00D446D7">
        <w:rPr>
          <w:rFonts w:cstheme="minorHAnsi"/>
        </w:rPr>
        <w:t xml:space="preserve"> </w:t>
      </w:r>
      <w:r w:rsidR="00E55B64" w:rsidRPr="00D446D7">
        <w:rPr>
          <w:rFonts w:cstheme="minorHAnsi"/>
        </w:rPr>
        <w:t>t</w:t>
      </w:r>
      <w:r w:rsidRPr="00D446D7">
        <w:rPr>
          <w:rFonts w:cstheme="minorHAnsi"/>
        </w:rPr>
        <w:t>echniczną</w:t>
      </w:r>
      <w:r w:rsidR="00565315" w:rsidRPr="00D446D7">
        <w:rPr>
          <w:rFonts w:cstheme="minorHAnsi"/>
        </w:rPr>
        <w:t xml:space="preserve"> </w:t>
      </w:r>
      <w:r w:rsidR="002F646B" w:rsidRPr="00D446D7">
        <w:rPr>
          <w:rFonts w:cstheme="minorHAnsi"/>
        </w:rPr>
        <w:t>tj.: sieci wodociągowe</w:t>
      </w:r>
      <w:r w:rsidRPr="00D446D7">
        <w:rPr>
          <w:rFonts w:cstheme="minorHAnsi"/>
        </w:rPr>
        <w:t xml:space="preserve">, gazowe, przewody telekomunikacyjne oraz elektroenergetyczne.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Wykonawca jest zobowiązany do zabezpieczenia terenu budowy w okresie trwania realizacji zamówienia aż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do zakończenia i odbioru końcowego.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lastRenderedPageBreak/>
        <w:t xml:space="preserve">Wykonawca dostarczy, zainstaluje i będzie utrzymywał tymczasowe urządzenia zabezpieczające: ogrodzenia, sygnały, znaki ostrzegawcze i wszelkie środki niezbędne do ochrony robót.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Wykopy liniowe i obiektowe należy zabezpieczyć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poprzez: </w:t>
      </w:r>
    </w:p>
    <w:p w:rsidR="00B618AA" w:rsidRPr="00D446D7" w:rsidRDefault="00856FF4" w:rsidP="00D446D7">
      <w:pPr>
        <w:pStyle w:val="Akapitzlist"/>
        <w:numPr>
          <w:ilvl w:val="0"/>
          <w:numId w:val="6"/>
        </w:numPr>
        <w:spacing w:after="120" w:line="276" w:lineRule="auto"/>
        <w:ind w:left="56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ustawienie barierek zabez</w:t>
      </w:r>
      <w:r w:rsidR="00B618AA" w:rsidRPr="00D446D7">
        <w:rPr>
          <w:rFonts w:cstheme="minorHAnsi"/>
        </w:rPr>
        <w:t>pieczających,</w:t>
      </w:r>
    </w:p>
    <w:p w:rsidR="00E55B64" w:rsidRPr="00D446D7" w:rsidRDefault="00856FF4" w:rsidP="00D446D7">
      <w:pPr>
        <w:pStyle w:val="Akapitzlist"/>
        <w:numPr>
          <w:ilvl w:val="0"/>
          <w:numId w:val="6"/>
        </w:numPr>
        <w:spacing w:after="120" w:line="276" w:lineRule="auto"/>
        <w:ind w:left="567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oznakowanie znakami drogowymi i oświetlenie zgodnie z przepisami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drogowymi i wymaganiami technicznymi.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 xml:space="preserve">Organizacja robót budowlanych 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Roboty należy prowadzić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 sposób zorganizowany, bez powodowania przestojów i kolizji, pod nadzorem osób uprawnionych oraz zgodnie z obowiązującymi normami i przepisami. Wykonawca jest zobowiązany znać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wszelkie przepisy wydane przez organy administracji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państwowej </w:t>
      </w:r>
      <w:r w:rsidR="00D446D7">
        <w:rPr>
          <w:rFonts w:cstheme="minorHAnsi"/>
        </w:rPr>
        <w:br/>
      </w:r>
      <w:r w:rsidRPr="00D446D7">
        <w:rPr>
          <w:rFonts w:cstheme="minorHAnsi"/>
        </w:rPr>
        <w:t>i samorządowej, które są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 jakikolwiek sposób związane z robotami i będzie odpowiedzialny za przestrzeganie podczas prowadzenia robót tych praw, przepisów i wytycznych.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Zabezpieczenie interesów osób trzecich</w:t>
      </w:r>
    </w:p>
    <w:p w:rsidR="005B6DC9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Teren, na którym realizowane będą</w:t>
      </w:r>
      <w:r w:rsidR="00565315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roboty budowlane zlokalizowany jest w ciąg</w:t>
      </w:r>
      <w:r w:rsidR="00FA234F" w:rsidRPr="00D446D7">
        <w:rPr>
          <w:rFonts w:cstheme="minorHAnsi"/>
        </w:rPr>
        <w:t xml:space="preserve">u komunikacyjnym - </w:t>
      </w:r>
      <w:r w:rsidRPr="00D446D7">
        <w:rPr>
          <w:rFonts w:cstheme="minorHAnsi"/>
        </w:rPr>
        <w:t>ulic</w:t>
      </w:r>
      <w:r w:rsidR="00FA234F" w:rsidRPr="00D446D7">
        <w:rPr>
          <w:rFonts w:cstheme="minorHAnsi"/>
        </w:rPr>
        <w:t>y</w:t>
      </w:r>
      <w:r w:rsidRPr="00D446D7">
        <w:rPr>
          <w:rFonts w:cstheme="minorHAnsi"/>
        </w:rPr>
        <w:t xml:space="preserve">. </w:t>
      </w:r>
      <w:r w:rsidR="00680F97">
        <w:rPr>
          <w:rFonts w:cstheme="minorHAnsi"/>
        </w:rPr>
        <w:t>Roboty prowadzić w sposób umożliwiający dojazd do posesji.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Ochrona środowiska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Charakter prowadzonych prac nie stwarza zagrożeń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dla środowiska przyrodniczego podczas ich wykonania. W czasie trwania robót Wykonawca będzie podejmować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wszelkie kroki mające na celu stosowanie się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do przepisów i norm dotyczących ochrony  środowiska na terenie i wokół terenu budowy oraz będzie unikać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uszkodzeń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i uciążliwości dla ludzi i własności społecznej.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Warunki bezpieczeństwa pracy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Kierownik zobowiązany jest do opracowania planu bezpieczeństwa i ochrony zdrowia w nawiązaniu do zawartej w projekcie budowlanym informacji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dotyczącej bezpieczeństwa i ochrony zdrowia.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Zaplecze dla potrzeb Wykonawcy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 xml:space="preserve">Usytuowanie zaplecza budowy zostanie uzgodnione z Zamawiającym, mając na uwadze bezpieczeństwo użytkowników obiektu.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Warunki dotyczące organizacji ruchu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Projekt nie przewiduje wykonania dróg tymczasowych,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utwardzanych. Zarówno sprzęt do robót ziemnych, jak również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transport materiałów do wbudowania będzie odbywał się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po drogach publicznych.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Ogrodzenia terenu budowy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 xml:space="preserve">Wykonawca zobowiązany jest do ogrodzenia terenu budowy w sposób zabezpieczający obszar przed dostępem osób trzecich. </w:t>
      </w:r>
    </w:p>
    <w:p w:rsidR="00856FF4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Zabezpieczenie jezdni i chodników</w:t>
      </w:r>
    </w:p>
    <w:p w:rsidR="00856FF4" w:rsidRPr="00D446D7" w:rsidRDefault="00856FF4" w:rsidP="00D446D7">
      <w:pPr>
        <w:spacing w:after="120" w:line="276" w:lineRule="auto"/>
        <w:ind w:left="284"/>
        <w:jc w:val="both"/>
        <w:rPr>
          <w:rFonts w:cstheme="minorHAnsi"/>
        </w:rPr>
      </w:pPr>
      <w:r w:rsidRPr="00D446D7">
        <w:rPr>
          <w:rFonts w:cstheme="minorHAnsi"/>
        </w:rPr>
        <w:t>Wykonawca zobowiązany jest do usuwania na bieżąco zanieczyszczeń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i uszkodzeń</w:t>
      </w:r>
      <w:r w:rsidR="00DF1DE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chodników </w:t>
      </w:r>
      <w:r w:rsidR="00D446D7">
        <w:rPr>
          <w:rFonts w:cstheme="minorHAnsi"/>
        </w:rPr>
        <w:br/>
      </w:r>
      <w:r w:rsidRPr="00D446D7">
        <w:rPr>
          <w:rFonts w:cstheme="minorHAnsi"/>
        </w:rPr>
        <w:t xml:space="preserve">i jezdni powstałych wskutek prowadzenia robót. </w:t>
      </w:r>
    </w:p>
    <w:p w:rsidR="00EA377D" w:rsidRPr="00D446D7" w:rsidRDefault="00EA377D" w:rsidP="00D446D7">
      <w:pPr>
        <w:pStyle w:val="Akapitzlist"/>
        <w:numPr>
          <w:ilvl w:val="0"/>
          <w:numId w:val="7"/>
        </w:numPr>
        <w:spacing w:after="120" w:line="276" w:lineRule="auto"/>
        <w:ind w:left="641" w:hanging="357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Nazwy i kody zamówienia</w:t>
      </w:r>
    </w:p>
    <w:p w:rsidR="00EA377D" w:rsidRPr="00D446D7" w:rsidRDefault="00EA377D" w:rsidP="00D446D7">
      <w:pPr>
        <w:pStyle w:val="Akapitzlist"/>
        <w:spacing w:after="120" w:line="276" w:lineRule="auto"/>
        <w:ind w:left="644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lastRenderedPageBreak/>
        <w:t>45232440-8</w:t>
      </w:r>
      <w:r w:rsidRPr="00D446D7">
        <w:rPr>
          <w:rFonts w:cstheme="minorHAnsi"/>
        </w:rPr>
        <w:tab/>
        <w:t>Roboty budowlane w zakresie budowy rurociągów do odprowadzania ścieków</w:t>
      </w:r>
    </w:p>
    <w:p w:rsidR="00EA377D" w:rsidRPr="00D446D7" w:rsidRDefault="00EA377D" w:rsidP="00D446D7">
      <w:pPr>
        <w:pStyle w:val="Akapitzlist"/>
        <w:spacing w:after="120" w:line="276" w:lineRule="auto"/>
        <w:ind w:left="646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</w:rPr>
        <w:t xml:space="preserve">45111200-0 </w:t>
      </w:r>
      <w:r w:rsidRPr="00D446D7">
        <w:rPr>
          <w:rFonts w:cstheme="minorHAnsi"/>
        </w:rPr>
        <w:tab/>
        <w:t>Roboty w zakresie przygotowania terenu pod budowę i roboty ziemne</w:t>
      </w:r>
    </w:p>
    <w:p w:rsidR="00EA377D" w:rsidRPr="00D446D7" w:rsidRDefault="00856FF4" w:rsidP="00D446D7">
      <w:pPr>
        <w:pStyle w:val="Akapitzlist"/>
        <w:numPr>
          <w:ilvl w:val="0"/>
          <w:numId w:val="7"/>
        </w:numPr>
        <w:spacing w:after="120" w:line="276" w:lineRule="auto"/>
        <w:ind w:left="641" w:hanging="357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Określenia podstawowe</w:t>
      </w:r>
    </w:p>
    <w:p w:rsidR="00856FF4" w:rsidRPr="00D446D7" w:rsidRDefault="00856FF4" w:rsidP="00D446D7">
      <w:pPr>
        <w:pStyle w:val="Akapitzlist"/>
        <w:spacing w:after="120" w:line="276" w:lineRule="auto"/>
        <w:ind w:left="646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</w:rPr>
        <w:t xml:space="preserve">P.B. – projekt budowlany.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Wymagania dotyczące właściwości wyrobów budowlanych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Wykonawca przy wykonywaniu robót zobowiązany jest zastosować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wyłącznie wyroby budowlane, które zostały dopuszczone do obrotu i powszechnego stosowania w budownictwie, zgodnie z Ustawą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 dnia 7 lipca 1994r. Prawo Budowlane</w:t>
      </w:r>
      <w:r w:rsidR="009B7798" w:rsidRPr="00D446D7">
        <w:rPr>
          <w:rFonts w:cstheme="minorHAnsi"/>
        </w:rPr>
        <w:t xml:space="preserve"> z </w:t>
      </w:r>
      <w:proofErr w:type="spellStart"/>
      <w:r w:rsidR="009B7798" w:rsidRPr="00D446D7">
        <w:rPr>
          <w:rFonts w:cstheme="minorHAnsi"/>
        </w:rPr>
        <w:t>późn</w:t>
      </w:r>
      <w:proofErr w:type="spellEnd"/>
      <w:r w:rsidRPr="00D446D7">
        <w:rPr>
          <w:rFonts w:cstheme="minorHAnsi"/>
        </w:rPr>
        <w:t>.</w:t>
      </w:r>
      <w:r w:rsidR="009B7798" w:rsidRPr="00D446D7">
        <w:rPr>
          <w:rFonts w:cstheme="minorHAnsi"/>
        </w:rPr>
        <w:t xml:space="preserve"> zm.</w:t>
      </w:r>
      <w:r w:rsidRPr="00D446D7">
        <w:rPr>
          <w:rFonts w:cstheme="minorHAnsi"/>
        </w:rPr>
        <w:t xml:space="preserve">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Rury, kształtki, uszczelki, studzienki kanalizacyjne, zwieńczenia studni rewizyjnych powinny być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przed montażem sprawdzone, czy spełniają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wymagania projektowe, czy są</w:t>
      </w:r>
      <w:r w:rsidR="00531F09" w:rsidRPr="00D446D7">
        <w:rPr>
          <w:rFonts w:cstheme="minorHAnsi"/>
        </w:rPr>
        <w:t xml:space="preserve"> o</w:t>
      </w:r>
      <w:r w:rsidRPr="00D446D7">
        <w:rPr>
          <w:rFonts w:cstheme="minorHAnsi"/>
        </w:rPr>
        <w:t>znakowane i czy nie są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uszkodzone. Deformacja przekroju poprzecznego rur kanalizacyjnych </w:t>
      </w:r>
      <w:r w:rsidR="00531F09" w:rsidRPr="00D446D7">
        <w:rPr>
          <w:rFonts w:cstheme="minorHAnsi"/>
        </w:rPr>
        <w:t xml:space="preserve">po wbudowaniu i zasypaniu </w:t>
      </w:r>
      <w:r w:rsidRPr="00D446D7">
        <w:rPr>
          <w:rFonts w:cstheme="minorHAnsi"/>
        </w:rPr>
        <w:t>nie może przekroczyć</w:t>
      </w:r>
      <w:r w:rsidR="00531F0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3% jej </w:t>
      </w:r>
      <w:r w:rsidR="00531F09" w:rsidRPr="00D446D7">
        <w:rPr>
          <w:rFonts w:cstheme="minorHAnsi"/>
        </w:rPr>
        <w:t>średnicy</w:t>
      </w:r>
      <w:r w:rsidRPr="00D446D7">
        <w:rPr>
          <w:rFonts w:cstheme="minorHAnsi"/>
        </w:rPr>
        <w:t>. Studzienki kanalizacyjne włazowe powinny spełniać</w:t>
      </w:r>
      <w:r w:rsidR="00531F09" w:rsidRPr="00D446D7">
        <w:rPr>
          <w:rFonts w:cstheme="minorHAnsi"/>
        </w:rPr>
        <w:t xml:space="preserve"> </w:t>
      </w:r>
      <w:r w:rsidR="00725046" w:rsidRPr="00D446D7">
        <w:rPr>
          <w:rFonts w:cstheme="minorHAnsi"/>
        </w:rPr>
        <w:t xml:space="preserve">wymagania normy </w:t>
      </w:r>
      <w:r w:rsidRPr="00D446D7">
        <w:rPr>
          <w:rFonts w:cstheme="minorHAnsi"/>
        </w:rPr>
        <w:t xml:space="preserve">PN-EN 476.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Transport materiałów oraz ich składowanie i magazynowanie należy realizować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zgodnie z wytycznymi producenta. Zaleca się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składowanie wszystkich materiałów w taki sposób, aby było możliwe zachowanie ich czystości, uniknięcie zanieczyszczenia lub zniszczenia. Rury powinny być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zabezpieczone przed możliwością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stoczenia się. Zaleca się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unikanie zbyt wysokich stosów, aby nie przeciążać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rur znajdujących się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 dolnej części. Stosy rur </w:t>
      </w:r>
      <w:r w:rsidR="00D64FA9" w:rsidRPr="00D446D7">
        <w:rPr>
          <w:rFonts w:cstheme="minorHAnsi"/>
        </w:rPr>
        <w:t xml:space="preserve">nie </w:t>
      </w:r>
      <w:r w:rsidRPr="00D446D7">
        <w:rPr>
          <w:rFonts w:cstheme="minorHAnsi"/>
        </w:rPr>
        <w:t>powinny być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lokalizowane w pobliżu otwartych wykopów. W okresie niskich temperatur zaleca się, aby rury były składowane na podkładach w celu uniknięcia przymarzania do gruntu.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Wymagania dotyczące sprzętu i maszyn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 zależności od przyjętej technologii wykonania robót Wykonawca określi rodzaj sprzętu do realizacji prac. Wykonawca jest zobowiązany do używania jedynie takiego sprzętu, który nie spowoduje niekorzystnego wpływu na jakość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wykonywanych robót, powinien być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sprawny oraz musi spełniać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wymagania bhp oraz posiadać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instrukcje obsługi.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>Wymagania dotyczące środków transportu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Wykonawca zobowiązany jest do stosowania jedynie takich  środków transportu, które nie wpłyną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niekorzystnie na jakość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wykonywanych robót i właściwości przewożonych materiałów. Materiały powinny być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przewożone  środkami transportu w sposób zapewniający uniknięcie uszkodzeń. Środki transportu powinny być</w:t>
      </w:r>
      <w:r w:rsidR="00D64FA9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zgodne z przepisami bhp i ruchu drogowego.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Wymagania dotyczące wykonania robót budowlanych</w:t>
      </w:r>
    </w:p>
    <w:p w:rsidR="00EA377D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Roboty budowlane powinny być</w:t>
      </w:r>
      <w:r w:rsidR="007F487B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prowadzone i wykonywane przez osoby do tego uprawnione, posiadaj</w:t>
      </w:r>
      <w:r w:rsidR="007F487B" w:rsidRPr="00D446D7">
        <w:rPr>
          <w:rFonts w:cstheme="minorHAnsi"/>
        </w:rPr>
        <w:t xml:space="preserve">ące odpowiednie kwalifikacje. </w:t>
      </w:r>
      <w:r w:rsidRPr="00D446D7">
        <w:rPr>
          <w:rFonts w:cstheme="minorHAnsi"/>
        </w:rPr>
        <w:t>Roboty powinny być</w:t>
      </w:r>
      <w:r w:rsidR="007F487B" w:rsidRPr="00D446D7">
        <w:rPr>
          <w:rFonts w:cstheme="minorHAnsi"/>
        </w:rPr>
        <w:t xml:space="preserve"> </w:t>
      </w:r>
      <w:r w:rsidR="00D446D7">
        <w:rPr>
          <w:rFonts w:cstheme="minorHAnsi"/>
        </w:rPr>
        <w:t xml:space="preserve">prowadzone zgodnie z P.B., </w:t>
      </w:r>
      <w:r w:rsidRPr="00D446D7">
        <w:rPr>
          <w:rFonts w:cstheme="minorHAnsi"/>
        </w:rPr>
        <w:t>obowiązującymi normami, przepisami bhp i ppoż. Wykopy otwarte dla budowanych przewodów należy wykonać</w:t>
      </w:r>
      <w:r w:rsidR="007F487B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zgodnie z warunkami technicznymi wg PN-B-10736.  </w:t>
      </w:r>
    </w:p>
    <w:p w:rsidR="00856FF4" w:rsidRPr="00D446D7" w:rsidRDefault="00856FF4" w:rsidP="00D446D7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hanging="709"/>
        <w:contextualSpacing w:val="0"/>
        <w:jc w:val="both"/>
        <w:rPr>
          <w:rFonts w:cstheme="minorHAnsi"/>
        </w:rPr>
      </w:pPr>
      <w:r w:rsidRPr="00D446D7">
        <w:rPr>
          <w:rFonts w:cstheme="minorHAnsi"/>
          <w:u w:val="single"/>
        </w:rPr>
        <w:t xml:space="preserve">Prace przygotowawcze: </w:t>
      </w:r>
    </w:p>
    <w:p w:rsidR="00EA377D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ustalić</w:t>
      </w:r>
      <w:r w:rsidR="00A2038D" w:rsidRPr="00D446D7">
        <w:rPr>
          <w:rFonts w:cstheme="minorHAnsi"/>
        </w:rPr>
        <w:t xml:space="preserve"> </w:t>
      </w:r>
      <w:r w:rsidR="00EA377D" w:rsidRPr="00D446D7">
        <w:rPr>
          <w:rFonts w:cstheme="minorHAnsi"/>
        </w:rPr>
        <w:t>miejsce placu budowy,</w:t>
      </w:r>
    </w:p>
    <w:p w:rsidR="00EA377D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oznakować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miejsce robót, </w:t>
      </w:r>
    </w:p>
    <w:p w:rsidR="00EA377D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ustalić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miejsce poboru energii elektrycznej, </w:t>
      </w:r>
    </w:p>
    <w:p w:rsidR="00EA377D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lastRenderedPageBreak/>
        <w:t>ustalić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sposób zabezpieczenia wykopu przed zalaniem wodą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opadową, </w:t>
      </w:r>
    </w:p>
    <w:p w:rsidR="00EA377D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wytyczyć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oś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wykopu oraz ustalić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repery, </w:t>
      </w:r>
    </w:p>
    <w:p w:rsidR="009B7798" w:rsidRPr="00D446D7" w:rsidRDefault="00856FF4" w:rsidP="00D446D7">
      <w:pPr>
        <w:pStyle w:val="Akapitzlist"/>
        <w:numPr>
          <w:ilvl w:val="0"/>
          <w:numId w:val="9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zabezpieczyć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teren wykopu. </w:t>
      </w:r>
    </w:p>
    <w:p w:rsidR="00856FF4" w:rsidRPr="00D446D7" w:rsidRDefault="00856FF4" w:rsidP="00D446D7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hanging="709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 xml:space="preserve">Prace budowlane: </w:t>
      </w:r>
    </w:p>
    <w:p w:rsidR="00EA377D" w:rsidRPr="00D446D7" w:rsidRDefault="00856FF4" w:rsidP="00D446D7">
      <w:pPr>
        <w:pStyle w:val="Akapitzlist"/>
        <w:numPr>
          <w:ilvl w:val="0"/>
          <w:numId w:val="11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wykonać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wykopy wraz z umocnieniem ścian wykopów, </w:t>
      </w:r>
    </w:p>
    <w:p w:rsidR="00EA377D" w:rsidRPr="00D446D7" w:rsidRDefault="00856FF4" w:rsidP="00D446D7">
      <w:pPr>
        <w:pStyle w:val="Akapitzlist"/>
        <w:numPr>
          <w:ilvl w:val="0"/>
          <w:numId w:val="11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przygotować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podłoża pod przewody i obiekty na sieci, </w:t>
      </w:r>
    </w:p>
    <w:p w:rsidR="00EA377D" w:rsidRPr="00D446D7" w:rsidRDefault="00856FF4" w:rsidP="00D446D7">
      <w:pPr>
        <w:pStyle w:val="Akapitzlist"/>
        <w:numPr>
          <w:ilvl w:val="0"/>
          <w:numId w:val="11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ułożyć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przewody kanalizacyjne, studnie kanalizacyjne, </w:t>
      </w:r>
    </w:p>
    <w:p w:rsidR="00EA377D" w:rsidRPr="00D446D7" w:rsidRDefault="00A2038D" w:rsidP="00D446D7">
      <w:pPr>
        <w:pStyle w:val="Akapitzlist"/>
        <w:numPr>
          <w:ilvl w:val="0"/>
          <w:numId w:val="11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wbudować trójniki z kominami na przewodach kanalizacyjnych i przejścia szczelne w studniach kanalizacyjnych dla przyszłych przyłączy</w:t>
      </w:r>
      <w:r w:rsidR="00EA377D" w:rsidRPr="00D446D7">
        <w:rPr>
          <w:rFonts w:cstheme="minorHAnsi"/>
        </w:rPr>
        <w:t>,</w:t>
      </w:r>
    </w:p>
    <w:p w:rsidR="009B7798" w:rsidRPr="00D446D7" w:rsidRDefault="00856FF4" w:rsidP="00D446D7">
      <w:pPr>
        <w:pStyle w:val="Akapitzlist"/>
        <w:numPr>
          <w:ilvl w:val="0"/>
          <w:numId w:val="11"/>
        </w:numPr>
        <w:spacing w:after="120" w:line="276" w:lineRule="auto"/>
        <w:ind w:left="709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dokonać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zasypania i zagęszczenia wykopu wraz z de</w:t>
      </w:r>
      <w:r w:rsidR="009B7798" w:rsidRPr="00D446D7">
        <w:rPr>
          <w:rFonts w:cstheme="minorHAnsi"/>
        </w:rPr>
        <w:t>montażem umocnień ścian wykopu.</w:t>
      </w:r>
    </w:p>
    <w:p w:rsidR="00856FF4" w:rsidRPr="00D446D7" w:rsidRDefault="00856FF4" w:rsidP="00D446D7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709" w:hanging="709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 xml:space="preserve">Roboty wykończeniowe: </w:t>
      </w:r>
    </w:p>
    <w:p w:rsidR="00EA377D" w:rsidRPr="00D446D7" w:rsidRDefault="00856FF4" w:rsidP="00D446D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odtworzyć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nawierzchnię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po robotach do stanu pierwotnego, </w:t>
      </w:r>
    </w:p>
    <w:p w:rsidR="009B7798" w:rsidRPr="00D446D7" w:rsidRDefault="00856FF4" w:rsidP="00D446D7">
      <w:pPr>
        <w:pStyle w:val="Akapitzlist"/>
        <w:numPr>
          <w:ilvl w:val="0"/>
          <w:numId w:val="12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przeprowadzić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badania wymagane w specyfikacji technicznej.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Kontrola, odbiór robót budowlanych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Kontrola wykonania sieci kanalizacji sanitarnej winna polegać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na sprawdzeniu zgodności budowy z P.B. Należy sprawdzić: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wytyczenie osi przewodu,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szerokość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i głębokość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wykopu,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szalowanie wykopu,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rodzaj podłoża,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rodzaj stosowanych rur, kształtek,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składowanie rur, kształtek,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ułożenie przewodu,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zagęszczenie </w:t>
      </w:r>
      <w:r w:rsidR="00A2038D" w:rsidRPr="00D446D7">
        <w:rPr>
          <w:rFonts w:cstheme="minorHAnsi"/>
        </w:rPr>
        <w:t xml:space="preserve">podsypki i </w:t>
      </w:r>
      <w:proofErr w:type="spellStart"/>
      <w:r w:rsidRPr="00D446D7">
        <w:rPr>
          <w:rFonts w:cstheme="minorHAnsi"/>
        </w:rPr>
        <w:t>obsypki</w:t>
      </w:r>
      <w:proofErr w:type="spellEnd"/>
      <w:r w:rsidRPr="00D446D7">
        <w:rPr>
          <w:rFonts w:cstheme="minorHAnsi"/>
        </w:rPr>
        <w:t xml:space="preserve"> przewodu,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zabezpieczenie innych przewodów w wykopie, </w:t>
      </w:r>
    </w:p>
    <w:p w:rsidR="00EA377D" w:rsidRPr="00D446D7" w:rsidRDefault="00856FF4" w:rsidP="00D446D7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szczelność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przewodu, </w:t>
      </w:r>
    </w:p>
    <w:p w:rsidR="009B7798" w:rsidRPr="00D446D7" w:rsidRDefault="00856FF4" w:rsidP="00D446D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studzienki kanalizacyjne</w:t>
      </w:r>
      <w:r w:rsidR="00A2038D" w:rsidRPr="00D446D7">
        <w:rPr>
          <w:rFonts w:cstheme="minorHAnsi"/>
        </w:rPr>
        <w:t>.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Oś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przewodu powinna być</w:t>
      </w:r>
      <w:r w:rsidR="00A2038D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zgodna z wytyczeniem wykonanym przez geodetę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 dowiązaniu do punktów stałych, potwierdzonych na szkicu geodezyjnym. Minimalna szerokość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wykopu powinna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zgodna z PN-EN 1610. Głębokość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wykopu powinna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zgodna z P.B. Dno wykopu powinno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wyrównane do wymaganego spadku, zgodnie z rzędnymi określonymi w P.B. i dowiązane do reperów określonych przez geodetę. Szalowanie  ścian wykopu powinno zabezpieczać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jego stateczność</w:t>
      </w:r>
      <w:r w:rsidR="001E0BA1" w:rsidRPr="00D446D7">
        <w:rPr>
          <w:rFonts w:cstheme="minorHAnsi"/>
        </w:rPr>
        <w:t xml:space="preserve"> </w:t>
      </w:r>
      <w:r w:rsidR="00D446D7">
        <w:rPr>
          <w:rFonts w:cstheme="minorHAnsi"/>
        </w:rPr>
        <w:br/>
      </w:r>
      <w:r w:rsidRPr="00D446D7">
        <w:rPr>
          <w:rFonts w:cstheme="minorHAnsi"/>
        </w:rPr>
        <w:t xml:space="preserve">i </w:t>
      </w:r>
      <w:r w:rsidR="001E0BA1" w:rsidRPr="00D446D7">
        <w:rPr>
          <w:rFonts w:cstheme="minorHAnsi"/>
        </w:rPr>
        <w:t>p</w:t>
      </w:r>
      <w:r w:rsidRPr="00D446D7">
        <w:rPr>
          <w:rFonts w:cstheme="minorHAnsi"/>
        </w:rPr>
        <w:t>owinno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ono usuwane w miarę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postępu zasypki wykopu. Zabezpieczenie skrzyżowań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innych przewodów podziemnych z wykopem powinno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wykonane zgodnie z P.B. Rury i kształtki, studzienki kanalizacyjne przygotowane do montażu powinny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zgodne z dokumentami stwierdzającymi dopuszczenie do stosowania w budownictwie. Przewód powinien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ułożony zgodnie z wytyczoną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osią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na wyrównanym podłożu wykopu i zinwentaryzowany przez geodetę. Na podłożu naturalnym przewód powinien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zagłębiony na całej długości, co najmniej na ¼ swojego obwodu. Na podłożu naturalnym z podsypką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oraz podłożu wzmocnionym, przewód powinien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ułożony zgodnie z P.B. Zasypka przewodu winna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wykonana zgodnie z P.B.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lastRenderedPageBreak/>
        <w:t>Wykonane prace podlegać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będą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odbiorom technicznym częściowym dla robót zanikających i odbiorom końcowym po zakończeniu budowy. Badania przy odbiorze winny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zgodne z wymaganiami PN-EN 1610</w:t>
      </w:r>
      <w:r w:rsidR="00680F97">
        <w:rPr>
          <w:rFonts w:cstheme="minorHAnsi"/>
        </w:rPr>
        <w:t>.</w:t>
      </w:r>
    </w:p>
    <w:p w:rsidR="00856FF4" w:rsidRPr="00D446D7" w:rsidRDefault="00856FF4" w:rsidP="00D446D7">
      <w:pPr>
        <w:pStyle w:val="Akapitzlist"/>
        <w:numPr>
          <w:ilvl w:val="0"/>
          <w:numId w:val="16"/>
        </w:numPr>
        <w:spacing w:after="120" w:line="276" w:lineRule="auto"/>
        <w:ind w:left="284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Odbiór techniczny częściowy sieci kanalizacyjnej:</w:t>
      </w:r>
    </w:p>
    <w:p w:rsidR="00EA377D" w:rsidRPr="00D446D7" w:rsidRDefault="00856FF4" w:rsidP="00D446D7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zbadanie zgodności usytuowania i długości przewodu z dokumentacją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i inwentaryzacją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geodezyjną. Dopuszczalne odchylenie w planie osi przewodu od osi wytyczonej nie powinno przekraczać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0,02m. Dopuszczalne odchylenie rzędnych ułożonego od przewidzianych </w:t>
      </w:r>
      <w:r w:rsidR="00EA377D" w:rsidRPr="00D446D7">
        <w:rPr>
          <w:rFonts w:cstheme="minorHAnsi"/>
        </w:rPr>
        <w:br/>
      </w:r>
      <w:r w:rsidRPr="00D446D7">
        <w:rPr>
          <w:rFonts w:cstheme="minorHAnsi"/>
        </w:rPr>
        <w:t xml:space="preserve">w projekcie nie powinno </w:t>
      </w:r>
      <w:r w:rsidR="001E0BA1" w:rsidRPr="00D446D7">
        <w:rPr>
          <w:rFonts w:cstheme="minorHAnsi"/>
        </w:rPr>
        <w:t>p</w:t>
      </w:r>
      <w:r w:rsidRPr="00D446D7">
        <w:rPr>
          <w:rFonts w:cstheme="minorHAnsi"/>
        </w:rPr>
        <w:t>rzekraczać</w:t>
      </w:r>
      <w:r w:rsidR="001E0BA1" w:rsidRPr="00D446D7">
        <w:rPr>
          <w:rFonts w:cstheme="minorHAnsi"/>
        </w:rPr>
        <w:t xml:space="preserve"> </w:t>
      </w:r>
      <w:r w:rsidR="00EA377D" w:rsidRPr="00D446D7">
        <w:rPr>
          <w:rFonts w:cstheme="minorHAnsi"/>
        </w:rPr>
        <w:t>0,01m,</w:t>
      </w:r>
    </w:p>
    <w:p w:rsidR="00EA377D" w:rsidRPr="00D446D7" w:rsidRDefault="00856FF4" w:rsidP="00D446D7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zbadanie podłoża naturalnego poprzez sprawdzenie nienaruszenia gruntu, </w:t>
      </w:r>
    </w:p>
    <w:p w:rsidR="00EA377D" w:rsidRPr="00D446D7" w:rsidRDefault="00856FF4" w:rsidP="00D446D7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zbadanie podłoża wzmocnionego poprzez sprawdzenie jego grubości i rodzaju, </w:t>
      </w:r>
    </w:p>
    <w:p w:rsidR="00EA377D" w:rsidRPr="00D446D7" w:rsidRDefault="00856FF4" w:rsidP="00D446D7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zbadanie materiału ziemnego użytego do podsypki i </w:t>
      </w:r>
      <w:proofErr w:type="spellStart"/>
      <w:r w:rsidRPr="00D446D7">
        <w:rPr>
          <w:rFonts w:cstheme="minorHAnsi"/>
        </w:rPr>
        <w:t>obsyki</w:t>
      </w:r>
      <w:proofErr w:type="spellEnd"/>
      <w:r w:rsidRPr="00D446D7">
        <w:rPr>
          <w:rFonts w:cstheme="minorHAnsi"/>
        </w:rPr>
        <w:t xml:space="preserve"> przewodu, który powinien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drobny i średnioziarnisty, bez grud i kamieni. Materiał powinien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zagęszczony. </w:t>
      </w:r>
    </w:p>
    <w:p w:rsidR="001D2C04" w:rsidRPr="00D446D7" w:rsidRDefault="00856FF4" w:rsidP="00D446D7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zbadanie szczelności przewodów. Badanie szczelności przeprowadzić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zgodnie z PN-EN 1610 dla kanalizacji grawitacyjnej.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Szczelność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przewodów i studzienek kanalizacji grawitacyjnej powinna gwarantować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utrzymanie przez okres 30 minut ciśnienia próbnego, wywołanego napełnieniem badanego odcinka przewodu wodą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do poziomu terenu. Ciśnienie to nie może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mniejsze niż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10 </w:t>
      </w:r>
      <w:proofErr w:type="spellStart"/>
      <w:r w:rsidRPr="00D446D7">
        <w:rPr>
          <w:rFonts w:cstheme="minorHAnsi"/>
        </w:rPr>
        <w:t>kPa</w:t>
      </w:r>
      <w:proofErr w:type="spellEnd"/>
      <w:r w:rsidRPr="00D446D7">
        <w:rPr>
          <w:rFonts w:cstheme="minorHAnsi"/>
        </w:rPr>
        <w:t xml:space="preserve"> i większe niż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50 </w:t>
      </w:r>
      <w:proofErr w:type="spellStart"/>
      <w:r w:rsidRPr="00D446D7">
        <w:rPr>
          <w:rFonts w:cstheme="minorHAnsi"/>
        </w:rPr>
        <w:t>kPa</w:t>
      </w:r>
      <w:proofErr w:type="spellEnd"/>
      <w:r w:rsidRPr="00D446D7">
        <w:rPr>
          <w:rFonts w:cstheme="minorHAnsi"/>
        </w:rPr>
        <w:t xml:space="preserve">, licząc od poziomu wierzchu rury. </w:t>
      </w:r>
    </w:p>
    <w:p w:rsidR="001E0BA1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Wymagania dotyczące szczelności studzienek kanalizacji grawitacyjnej są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spełnione, jeśli uzupełnienie wody do jej początkowego poziomu nie przekracza powierzchni zwilżonej, czyli 0,4 l/m</w:t>
      </w:r>
      <w:r w:rsidRPr="00D446D7">
        <w:rPr>
          <w:rFonts w:cstheme="minorHAnsi"/>
          <w:vertAlign w:val="superscript"/>
        </w:rPr>
        <w:t>2</w:t>
      </w:r>
      <w:r w:rsidRPr="00D446D7">
        <w:rPr>
          <w:rFonts w:cstheme="minorHAnsi"/>
        </w:rPr>
        <w:t>. Natomiast połączenia przewodów kanalizacyjnych tworzywowych muszą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gwarantować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całkowitą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szczelność.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Wyniki badań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powinny być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wpisane do dziennika budowy, który wraz protokołem próby szczelności, inwentaryzacją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geodezyjną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oraz certyfikatami i deklaracjami zgodności z polskimi normami </w:t>
      </w:r>
      <w:r w:rsidR="00EA377D" w:rsidRPr="00D446D7">
        <w:rPr>
          <w:rFonts w:cstheme="minorHAnsi"/>
        </w:rPr>
        <w:br/>
      </w:r>
      <w:r w:rsidRPr="00D446D7">
        <w:rPr>
          <w:rFonts w:cstheme="minorHAnsi"/>
        </w:rPr>
        <w:t xml:space="preserve">i </w:t>
      </w:r>
      <w:r w:rsidR="001E0BA1" w:rsidRPr="00D446D7">
        <w:rPr>
          <w:rFonts w:cstheme="minorHAnsi"/>
        </w:rPr>
        <w:t>a</w:t>
      </w:r>
      <w:r w:rsidRPr="00D446D7">
        <w:rPr>
          <w:rFonts w:cstheme="minorHAnsi"/>
        </w:rPr>
        <w:t>probatami technicznymi dotyczącymi rur, kształtek, studzienek, który stanowi podstawę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do decyzji o możliwości zasypywania odebranego odcinka przewodu.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 xml:space="preserve">Wymagane jest dokonanie wpisu do dziennika budowy o wykonaniu odbioru częściowego. </w:t>
      </w:r>
    </w:p>
    <w:p w:rsidR="00856FF4" w:rsidRPr="00D446D7" w:rsidRDefault="00856FF4" w:rsidP="00D446D7">
      <w:pPr>
        <w:pStyle w:val="Akapitzlist"/>
        <w:numPr>
          <w:ilvl w:val="0"/>
          <w:numId w:val="16"/>
        </w:numPr>
        <w:spacing w:after="120" w:line="276" w:lineRule="auto"/>
        <w:ind w:left="284"/>
        <w:contextualSpacing w:val="0"/>
        <w:jc w:val="both"/>
        <w:rPr>
          <w:rFonts w:cstheme="minorHAnsi"/>
          <w:u w:val="single"/>
        </w:rPr>
      </w:pPr>
      <w:r w:rsidRPr="00D446D7">
        <w:rPr>
          <w:rFonts w:cstheme="minorHAnsi"/>
          <w:u w:val="single"/>
        </w:rPr>
        <w:t>Odbiór techniczny końcowy sieci kanalizacyjnej:</w:t>
      </w:r>
    </w:p>
    <w:p w:rsidR="00EA377D" w:rsidRPr="00D446D7" w:rsidRDefault="00856FF4" w:rsidP="00D446D7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zbadanie zgodności P.B. ze stanem faktycznym i inwentaryzacją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geodezyjną, </w:t>
      </w:r>
    </w:p>
    <w:p w:rsidR="00EA377D" w:rsidRPr="00D446D7" w:rsidRDefault="00856FF4" w:rsidP="00D446D7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zbadanie zgodności protokołów odbioru: próby szczelności oraz wyników badań</w:t>
      </w:r>
      <w:r w:rsidR="001E0BA1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stopnia </w:t>
      </w:r>
      <w:r w:rsidR="001E0BA1" w:rsidRPr="00D446D7">
        <w:rPr>
          <w:rFonts w:cstheme="minorHAnsi"/>
        </w:rPr>
        <w:t>z</w:t>
      </w:r>
      <w:r w:rsidRPr="00D446D7">
        <w:rPr>
          <w:rFonts w:cstheme="minorHAnsi"/>
        </w:rPr>
        <w:t xml:space="preserve">agęszczenia gruntu zasypki wykopu, </w:t>
      </w:r>
    </w:p>
    <w:p w:rsidR="00EA377D" w:rsidRPr="00D446D7" w:rsidRDefault="00856FF4" w:rsidP="00D446D7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zbadanie rozstawu studzienek kanalizacyjnych, </w:t>
      </w:r>
    </w:p>
    <w:p w:rsidR="00856FF4" w:rsidRPr="00D446D7" w:rsidRDefault="00856FF4" w:rsidP="00D446D7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zbadanie protokołów odbioru prób szczelności przewodów kanalizacyjnych,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Wyniki badań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powinny być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zapisane w dzienniku budowy, który z protokołami odbiorów częściowych, projektem z wprowadzonymi zmianami w trakcie budowy, wynikami stopnia zagęszczenia gruntu zas</w:t>
      </w:r>
      <w:r w:rsidR="00A311D7" w:rsidRPr="00D446D7">
        <w:rPr>
          <w:rFonts w:cstheme="minorHAnsi"/>
        </w:rPr>
        <w:t>ypki wykopu</w:t>
      </w:r>
      <w:r w:rsidRPr="00D446D7">
        <w:rPr>
          <w:rFonts w:cstheme="minorHAnsi"/>
        </w:rPr>
        <w:t>.</w:t>
      </w:r>
      <w:r w:rsidR="001D2C04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 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 xml:space="preserve">Kierownik Budowy zgodnie z </w:t>
      </w:r>
      <w:r w:rsidR="001D2C04" w:rsidRPr="00D446D7">
        <w:rPr>
          <w:rFonts w:cstheme="minorHAnsi"/>
        </w:rPr>
        <w:t>u</w:t>
      </w:r>
      <w:r w:rsidRPr="00D446D7">
        <w:rPr>
          <w:rFonts w:cstheme="minorHAnsi"/>
        </w:rPr>
        <w:t>stawą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Prawo Budowlane, przy odbiorze końcowym jest zobowiązany złożyć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oświadczenia: </w:t>
      </w:r>
    </w:p>
    <w:p w:rsidR="00EA377D" w:rsidRPr="00D446D7" w:rsidRDefault="00856FF4" w:rsidP="00D446D7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lastRenderedPageBreak/>
        <w:t xml:space="preserve">wykonaniu systemu kanalizacji sanitarnej zgodnie z projektem i warunkami pozwolenia na budowę, </w:t>
      </w:r>
    </w:p>
    <w:p w:rsidR="00856FF4" w:rsidRPr="00D446D7" w:rsidRDefault="00856FF4" w:rsidP="00D446D7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o doprowadzeniu terenu budowy do należytego stanu, a także – w razie korzystania – ulicy i sąsiedniej nieruchomości.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Wymagania dotyczące przedmiaru i obmiaru robót</w:t>
      </w:r>
    </w:p>
    <w:p w:rsidR="00BC3351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Przedmiar i obmiar robót należy przeprowadzić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według założeń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przyjętych w </w:t>
      </w:r>
      <w:r w:rsidR="00BC3351" w:rsidRPr="00D446D7">
        <w:rPr>
          <w:rFonts w:cstheme="minorHAnsi"/>
        </w:rPr>
        <w:t>P.B</w:t>
      </w:r>
      <w:r w:rsidRPr="00D446D7">
        <w:rPr>
          <w:rFonts w:cstheme="minorHAnsi"/>
        </w:rPr>
        <w:t xml:space="preserve"> lub innych założeń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ustalonych z Zamawiającym. </w:t>
      </w:r>
      <w:r w:rsidR="00BC3351" w:rsidRPr="00D446D7">
        <w:rPr>
          <w:rFonts w:cstheme="minorHAnsi"/>
        </w:rPr>
        <w:t xml:space="preserve"> </w:t>
      </w:r>
      <w:r w:rsidR="00BC3351" w:rsidRPr="00D446D7">
        <w:rPr>
          <w:rFonts w:cstheme="minorHAnsi"/>
          <w:b/>
        </w:rPr>
        <w:t>Przedmiary robót, stanowiące załącznik do SIWZ, są jedynie materiałem pomocniczym.</w:t>
      </w:r>
      <w:bookmarkStart w:id="0" w:name="_GoBack"/>
      <w:bookmarkEnd w:id="0"/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Opis sposobu odbioru robót budowlanych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Realizowane roboty podlegają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odbiorom częściowym i końcowym. Gotowość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danej części robót do odbioru lub do odbioru końcowego zgłasza Wykonawca do Zamawiającego pisemnie.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 xml:space="preserve">  Opis sposobu rozliczenia robót tymczasowych i towarzyszących</w:t>
      </w:r>
    </w:p>
    <w:p w:rsidR="00856FF4" w:rsidRPr="00D446D7" w:rsidRDefault="00856FF4" w:rsidP="00D446D7">
      <w:pPr>
        <w:spacing w:after="120" w:line="276" w:lineRule="auto"/>
        <w:jc w:val="both"/>
        <w:rPr>
          <w:rFonts w:cstheme="minorHAnsi"/>
        </w:rPr>
      </w:pPr>
      <w:r w:rsidRPr="00D446D7">
        <w:rPr>
          <w:rFonts w:cstheme="minorHAnsi"/>
        </w:rPr>
        <w:t>Wszystkie niezbędne koszty robót tymczasowych i prac towarzyszących winny być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uwzględnione w oferowanej cenie za realizację</w:t>
      </w:r>
      <w:r w:rsidR="00A311D7" w:rsidRPr="00D446D7">
        <w:rPr>
          <w:rFonts w:cstheme="minorHAnsi"/>
        </w:rPr>
        <w:t xml:space="preserve"> przedmiotowego zamówienia. W</w:t>
      </w:r>
      <w:r w:rsidRPr="00D446D7">
        <w:rPr>
          <w:rFonts w:cstheme="minorHAnsi"/>
        </w:rPr>
        <w:t xml:space="preserve">ynagrodzenie ryczałtowe będzie </w:t>
      </w:r>
      <w:r w:rsidR="00A311D7" w:rsidRPr="00D446D7">
        <w:rPr>
          <w:rFonts w:cstheme="minorHAnsi"/>
        </w:rPr>
        <w:t>u</w:t>
      </w:r>
      <w:r w:rsidRPr="00D446D7">
        <w:rPr>
          <w:rFonts w:cstheme="minorHAnsi"/>
        </w:rPr>
        <w:t>względniać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>wszystkie roboty tymczasowe i prace towarzyszące jak również</w:t>
      </w:r>
      <w:r w:rsidR="00A311D7" w:rsidRPr="00D446D7">
        <w:rPr>
          <w:rFonts w:cstheme="minorHAnsi"/>
        </w:rPr>
        <w:t xml:space="preserve"> </w:t>
      </w:r>
      <w:r w:rsidRPr="00D446D7">
        <w:rPr>
          <w:rFonts w:cstheme="minorHAnsi"/>
        </w:rPr>
        <w:t xml:space="preserve">inne czynności, wymagania i badania. </w:t>
      </w:r>
    </w:p>
    <w:p w:rsidR="00856FF4" w:rsidRPr="00D446D7" w:rsidRDefault="00856FF4" w:rsidP="00D446D7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cstheme="minorHAnsi"/>
          <w:b/>
          <w:u w:val="single"/>
        </w:rPr>
      </w:pPr>
      <w:r w:rsidRPr="00D446D7">
        <w:rPr>
          <w:rFonts w:cstheme="minorHAnsi"/>
          <w:b/>
          <w:u w:val="single"/>
        </w:rPr>
        <w:t>Dokumenty odniesienia</w:t>
      </w:r>
    </w:p>
    <w:p w:rsidR="00EA377D" w:rsidRPr="00D446D7" w:rsidRDefault="00856FF4" w:rsidP="00D446D7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projekt budowlany, </w:t>
      </w:r>
    </w:p>
    <w:p w:rsidR="00EA377D" w:rsidRPr="00D446D7" w:rsidRDefault="00856FF4" w:rsidP="00D446D7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przedmiar, </w:t>
      </w:r>
    </w:p>
    <w:p w:rsidR="00EA377D" w:rsidRPr="00D446D7" w:rsidRDefault="00856FF4" w:rsidP="00D446D7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 xml:space="preserve">normy branżowe, </w:t>
      </w:r>
    </w:p>
    <w:p w:rsidR="004F625A" w:rsidRPr="00D446D7" w:rsidRDefault="00856FF4" w:rsidP="00D446D7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D446D7">
        <w:rPr>
          <w:rFonts w:cstheme="minorHAnsi"/>
        </w:rPr>
        <w:t>instrukcje techniczne producentów materiałów</w:t>
      </w:r>
      <w:r w:rsidR="00A311D7" w:rsidRPr="00D446D7">
        <w:rPr>
          <w:rFonts w:cstheme="minorHAnsi"/>
        </w:rPr>
        <w:t>.</w:t>
      </w:r>
    </w:p>
    <w:sectPr w:rsidR="004F625A" w:rsidRPr="00D446D7" w:rsidSect="00BC3351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2" w:rsidRDefault="00437B62" w:rsidP="00B618AA">
      <w:pPr>
        <w:spacing w:after="0" w:line="240" w:lineRule="auto"/>
      </w:pPr>
      <w:r>
        <w:separator/>
      </w:r>
    </w:p>
  </w:endnote>
  <w:endnote w:type="continuationSeparator" w:id="0">
    <w:p w:rsidR="00437B62" w:rsidRDefault="00437B62" w:rsidP="00B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F" w:rsidRDefault="008F33FF">
    <w:pPr>
      <w:pStyle w:val="Stopka"/>
    </w:pPr>
    <w:r w:rsidRPr="008F33FF">
      <w:rPr>
        <w:noProof/>
        <w:color w:val="0070C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118745</wp:posOffset>
              </wp:positionH>
              <wp:positionV relativeFrom="margin">
                <wp:posOffset>8713470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FF" w:rsidRDefault="008F33F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0F9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9.35pt;margin-top:686.1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" o:allowincell="f" stroked="f">
              <v:textbox style="mso-fit-shape-to-text:t" inset="0,,0">
                <w:txbxContent>
                  <w:p w:rsidR="008F33FF" w:rsidRDefault="008F33F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0F9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2" w:rsidRDefault="00437B62" w:rsidP="00B618AA">
      <w:pPr>
        <w:spacing w:after="0" w:line="240" w:lineRule="auto"/>
      </w:pPr>
      <w:r>
        <w:separator/>
      </w:r>
    </w:p>
  </w:footnote>
  <w:footnote w:type="continuationSeparator" w:id="0">
    <w:p w:rsidR="00437B62" w:rsidRDefault="00437B62" w:rsidP="00B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AA" w:rsidRPr="00D446D7" w:rsidRDefault="00437B62" w:rsidP="00B618AA">
    <w:pPr>
      <w:pStyle w:val="Nagwek"/>
      <w:spacing w:after="240"/>
      <w:rPr>
        <w:rFonts w:cstheme="minorHAnsi"/>
        <w:sz w:val="18"/>
      </w:rPr>
    </w:pPr>
    <w:sdt>
      <w:sdtPr>
        <w:rPr>
          <w:rFonts w:cstheme="minorHAnsi"/>
          <w:color w:val="0070C0"/>
          <w:sz w:val="18"/>
        </w:rPr>
        <w:id w:val="666764687"/>
        <w:docPartObj>
          <w:docPartGallery w:val="Page Numbers (Margins)"/>
          <w:docPartUnique/>
        </w:docPartObj>
      </w:sdtPr>
      <w:sdtEndPr/>
      <w:sdtContent/>
    </w:sdt>
    <w:r w:rsidR="00B618AA" w:rsidRPr="00D446D7">
      <w:rPr>
        <w:rFonts w:cstheme="minorHAnsi"/>
        <w:sz w:val="18"/>
      </w:rPr>
      <w:t xml:space="preserve">Numer postępowania: </w:t>
    </w:r>
    <w:r w:rsidR="00D446D7">
      <w:rPr>
        <w:rFonts w:cstheme="minorHAnsi"/>
        <w:sz w:val="18"/>
      </w:rPr>
      <w:t>S5/2021/PN/BL</w:t>
    </w:r>
  </w:p>
  <w:p w:rsidR="00B618AA" w:rsidRPr="00D446D7" w:rsidRDefault="00B618AA" w:rsidP="00B618AA">
    <w:pPr>
      <w:pStyle w:val="Nagwek"/>
      <w:pBdr>
        <w:bottom w:val="single" w:sz="4" w:space="1" w:color="auto"/>
      </w:pBdr>
      <w:rPr>
        <w:rFonts w:cstheme="minorHAnsi"/>
        <w:sz w:val="18"/>
      </w:rPr>
    </w:pPr>
    <w:r w:rsidRPr="00D446D7">
      <w:rPr>
        <w:rFonts w:cstheme="minorHAnsi"/>
        <w:sz w:val="18"/>
      </w:rPr>
      <w:tab/>
      <w:t xml:space="preserve">                  Załącznik Nr </w:t>
    </w:r>
    <w:r w:rsidR="00D446D7">
      <w:rPr>
        <w:rFonts w:cstheme="minorHAnsi"/>
        <w:sz w:val="18"/>
      </w:rPr>
      <w:t>7</w:t>
    </w:r>
    <w:r w:rsidR="00FB7900" w:rsidRPr="00D446D7">
      <w:rPr>
        <w:rFonts w:cstheme="minorHAnsi"/>
        <w:sz w:val="18"/>
      </w:rPr>
      <w:t xml:space="preserve"> </w:t>
    </w:r>
    <w:r w:rsidRPr="00D446D7">
      <w:rPr>
        <w:rFonts w:cstheme="minorHAnsi"/>
        <w:sz w:val="18"/>
      </w:rPr>
      <w:t>do SIWZ – Specyfikacja Techniczna Wykonania i Odbioru Robót Budowlanych</w:t>
    </w:r>
  </w:p>
  <w:p w:rsidR="00B618AA" w:rsidRDefault="00B61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302"/>
    <w:multiLevelType w:val="hybridMultilevel"/>
    <w:tmpl w:val="FA621440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541"/>
    <w:multiLevelType w:val="hybridMultilevel"/>
    <w:tmpl w:val="0D04B4EA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B01"/>
    <w:multiLevelType w:val="hybridMultilevel"/>
    <w:tmpl w:val="EF007332"/>
    <w:lvl w:ilvl="0" w:tplc="06427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F6226"/>
    <w:multiLevelType w:val="hybridMultilevel"/>
    <w:tmpl w:val="5C9E7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3385"/>
    <w:multiLevelType w:val="hybridMultilevel"/>
    <w:tmpl w:val="697E75CA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683"/>
    <w:multiLevelType w:val="hybridMultilevel"/>
    <w:tmpl w:val="4A08953E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0AA"/>
    <w:multiLevelType w:val="hybridMultilevel"/>
    <w:tmpl w:val="BD4EFBF4"/>
    <w:lvl w:ilvl="0" w:tplc="8E0CF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F45B69"/>
    <w:multiLevelType w:val="hybridMultilevel"/>
    <w:tmpl w:val="133EABEE"/>
    <w:lvl w:ilvl="0" w:tplc="787A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CFB"/>
    <w:multiLevelType w:val="hybridMultilevel"/>
    <w:tmpl w:val="DFC2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408"/>
    <w:multiLevelType w:val="hybridMultilevel"/>
    <w:tmpl w:val="EA02E46C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69C"/>
    <w:multiLevelType w:val="hybridMultilevel"/>
    <w:tmpl w:val="DF962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2509"/>
    <w:multiLevelType w:val="hybridMultilevel"/>
    <w:tmpl w:val="ECDC3478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220C"/>
    <w:multiLevelType w:val="hybridMultilevel"/>
    <w:tmpl w:val="DEBA11C0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E3B62"/>
    <w:multiLevelType w:val="hybridMultilevel"/>
    <w:tmpl w:val="B61A8CCE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24CC"/>
    <w:multiLevelType w:val="hybridMultilevel"/>
    <w:tmpl w:val="04AA2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698C02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40F1B"/>
    <w:multiLevelType w:val="hybridMultilevel"/>
    <w:tmpl w:val="71E871E2"/>
    <w:lvl w:ilvl="0" w:tplc="06427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F17DCF"/>
    <w:multiLevelType w:val="hybridMultilevel"/>
    <w:tmpl w:val="A868288C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4C5F"/>
    <w:multiLevelType w:val="hybridMultilevel"/>
    <w:tmpl w:val="2CECB19A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7777"/>
    <w:multiLevelType w:val="hybridMultilevel"/>
    <w:tmpl w:val="B7C6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775B8"/>
    <w:multiLevelType w:val="hybridMultilevel"/>
    <w:tmpl w:val="D7F0BC58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83F10"/>
    <w:multiLevelType w:val="hybridMultilevel"/>
    <w:tmpl w:val="24960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10F2B"/>
    <w:multiLevelType w:val="hybridMultilevel"/>
    <w:tmpl w:val="33A801D0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0A39"/>
    <w:multiLevelType w:val="hybridMultilevel"/>
    <w:tmpl w:val="687CC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2"/>
  </w:num>
  <w:num w:numId="12">
    <w:abstractNumId w:val="21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9"/>
  </w:num>
  <w:num w:numId="18">
    <w:abstractNumId w:val="17"/>
  </w:num>
  <w:num w:numId="19">
    <w:abstractNumId w:val="1"/>
  </w:num>
  <w:num w:numId="20">
    <w:abstractNumId w:val="20"/>
  </w:num>
  <w:num w:numId="21">
    <w:abstractNumId w:val="1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35"/>
    <w:rsid w:val="00145D15"/>
    <w:rsid w:val="001B67D3"/>
    <w:rsid w:val="001D2C04"/>
    <w:rsid w:val="001E0BA1"/>
    <w:rsid w:val="002F646B"/>
    <w:rsid w:val="003125DD"/>
    <w:rsid w:val="00367201"/>
    <w:rsid w:val="00437B62"/>
    <w:rsid w:val="0047645B"/>
    <w:rsid w:val="004F625A"/>
    <w:rsid w:val="00531F09"/>
    <w:rsid w:val="00565315"/>
    <w:rsid w:val="005B6DC9"/>
    <w:rsid w:val="00680F97"/>
    <w:rsid w:val="006E5535"/>
    <w:rsid w:val="00725046"/>
    <w:rsid w:val="007F487B"/>
    <w:rsid w:val="00856FF4"/>
    <w:rsid w:val="008F33FF"/>
    <w:rsid w:val="0094505B"/>
    <w:rsid w:val="009B7798"/>
    <w:rsid w:val="00A2038D"/>
    <w:rsid w:val="00A311D7"/>
    <w:rsid w:val="00A74776"/>
    <w:rsid w:val="00B618AA"/>
    <w:rsid w:val="00B70839"/>
    <w:rsid w:val="00BC3351"/>
    <w:rsid w:val="00D44329"/>
    <w:rsid w:val="00D446D7"/>
    <w:rsid w:val="00D63D72"/>
    <w:rsid w:val="00D64FA9"/>
    <w:rsid w:val="00DF1DE7"/>
    <w:rsid w:val="00E55B64"/>
    <w:rsid w:val="00E636B1"/>
    <w:rsid w:val="00EA377D"/>
    <w:rsid w:val="00EF3717"/>
    <w:rsid w:val="00F7021A"/>
    <w:rsid w:val="00FA234F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B2BD2-A6BD-494B-A4DC-BF300EEE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C335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3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AA"/>
  </w:style>
  <w:style w:type="paragraph" w:styleId="Stopka">
    <w:name w:val="footer"/>
    <w:basedOn w:val="Normalny"/>
    <w:link w:val="StopkaZnak"/>
    <w:uiPriority w:val="99"/>
    <w:unhideWhenUsed/>
    <w:rsid w:val="00B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8AA"/>
  </w:style>
  <w:style w:type="paragraph" w:styleId="Akapitzlist">
    <w:name w:val="List Paragraph"/>
    <w:basedOn w:val="Normalny"/>
    <w:uiPriority w:val="34"/>
    <w:qFormat/>
    <w:rsid w:val="00B61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Lamparski</dc:creator>
  <cp:keywords/>
  <dc:description/>
  <cp:lastModifiedBy>Andrzej Lamparski</cp:lastModifiedBy>
  <cp:revision>27</cp:revision>
  <cp:lastPrinted>2018-04-03T12:38:00Z</cp:lastPrinted>
  <dcterms:created xsi:type="dcterms:W3CDTF">2018-03-13T10:16:00Z</dcterms:created>
  <dcterms:modified xsi:type="dcterms:W3CDTF">2021-02-22T14:38:00Z</dcterms:modified>
</cp:coreProperties>
</file>