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44067" w14:textId="15D3186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0310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C03105">
        <w:rPr>
          <w:rFonts w:asciiTheme="minorHAnsi" w:hAnsiTheme="minorHAnsi" w:cstheme="minorHAnsi"/>
          <w:b/>
          <w:bCs/>
          <w:sz w:val="22"/>
          <w:szCs w:val="22"/>
        </w:rPr>
        <w:t>3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5D052F" w14:textId="77777777" w:rsidR="00C03105" w:rsidRDefault="00C0310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9CB205" w14:textId="77777777" w:rsidR="00C03105" w:rsidRDefault="00C0310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6359A285" w:rsidR="00CB152B" w:rsidRPr="00352ECE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52E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1E73E2" w:rsidRPr="001E73E2">
        <w:rPr>
          <w:rFonts w:asciiTheme="minorHAnsi" w:hAnsiTheme="minorHAnsi" w:cstheme="minorHAnsi"/>
          <w:b/>
          <w:bCs/>
          <w:sz w:val="22"/>
          <w:szCs w:val="22"/>
        </w:rPr>
        <w:t xml:space="preserve">Termocykler z HRM </w:t>
      </w:r>
      <w:r w:rsidR="003F622F" w:rsidRPr="00352ECE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 w:rsidRPr="00352E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352ECE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50172260" w14:textId="77777777" w:rsidR="00C63F56" w:rsidRDefault="00C63F56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662A67" w14:textId="77777777" w:rsidR="00C03105" w:rsidRDefault="00C03105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55A5AE28" w:rsidR="00FB31DF" w:rsidRPr="00352ECE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2ECE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352ECE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228EA1A8" w:rsidR="00FB31DF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8B94EA0" w14:textId="77777777" w:rsidR="00C03105" w:rsidRDefault="00C03105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</w:p>
    <w:p w14:paraId="54DC6945" w14:textId="77777777" w:rsidR="00C63F56" w:rsidRPr="00CB152B" w:rsidRDefault="00C63F56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2859"/>
      </w:tblGrid>
      <w:tr w:rsidR="00B04D68" w:rsidRPr="00CB152B" w14:paraId="032698E6" w14:textId="77777777" w:rsidTr="00B0389D">
        <w:trPr>
          <w:trHeight w:val="42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B04D68" w:rsidRPr="00CB152B" w:rsidRDefault="00B04D68" w:rsidP="00C63F5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B04D68" w:rsidRPr="00CB152B" w:rsidRDefault="00B04D68" w:rsidP="00C63F56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</w:tr>
      <w:tr w:rsidR="00B04D68" w:rsidRPr="00CB152B" w14:paraId="30AF1F26" w14:textId="77777777" w:rsidTr="00B56F2B">
        <w:trPr>
          <w:trHeight w:val="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449" w14:textId="0924BFA9" w:rsidR="00B04D68" w:rsidRPr="0066570A" w:rsidRDefault="00B04D68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A1FF" w14:textId="255DA8A1" w:rsidR="00B04D68" w:rsidRPr="00352ECE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>Urządzenie umożliwiające przeprowadzanie ilościowej reakcji PCR w czasie rzeczywistym z użyciem barwników fluorescencyjnych</w:t>
            </w:r>
          </w:p>
        </w:tc>
      </w:tr>
      <w:tr w:rsidR="0066570A" w:rsidRPr="00CB152B" w14:paraId="10E0DEA6" w14:textId="77777777" w:rsidTr="00B56F2B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1927C651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 xml:space="preserve">Jednoczesna amplifikacja i detekcja do 96 prób i możliwość rozbudowy do bloku na 384 próby </w:t>
            </w:r>
          </w:p>
        </w:tc>
      </w:tr>
      <w:tr w:rsidR="0066570A" w:rsidRPr="0066570A" w14:paraId="5F667C5C" w14:textId="77777777" w:rsidTr="00B56F2B">
        <w:trPr>
          <w:trHeight w:val="26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0077CAE9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 xml:space="preserve">Możliwość samodzielnej wymiany bloków bez utraty parametrów technicznych urządzenia takich jak ilość możliwych do wykorzystania przy analizie kanałów detekcji / wzbudzenia. Brak konieczności kalibracji urządzenia po wymianie bloku. </w:t>
            </w:r>
          </w:p>
        </w:tc>
      </w:tr>
      <w:tr w:rsidR="0066570A" w:rsidRPr="00CB152B" w14:paraId="0BEBD601" w14:textId="77777777" w:rsidTr="00B56F2B">
        <w:trPr>
          <w:trHeight w:val="27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7A2A9033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>Urządzenie nie wymagające normalizacji z barwnikiem referencyjnym typu Rox</w:t>
            </w:r>
          </w:p>
        </w:tc>
      </w:tr>
      <w:tr w:rsidR="0066570A" w:rsidRPr="00CB152B" w14:paraId="64DF9156" w14:textId="77777777" w:rsidTr="00B56F2B">
        <w:trPr>
          <w:trHeight w:val="33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7F7BF97E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 xml:space="preserve">Możliwość przeprowadzenia krzywej topnienia w trybie wysokiej rozdzielczości w zakresie 20 - 95°C </w:t>
            </w:r>
          </w:p>
        </w:tc>
      </w:tr>
      <w:tr w:rsidR="0066570A" w:rsidRPr="00CB152B" w14:paraId="70E586E3" w14:textId="77777777" w:rsidTr="00B56F2B">
        <w:trPr>
          <w:trHeight w:val="2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0A308B52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>System detekcyjny – kamera CCD wysokiej czułości, umożliwiająca jednoczesny odczyt wszystkich analizowanych prób.</w:t>
            </w:r>
          </w:p>
        </w:tc>
      </w:tr>
      <w:tr w:rsidR="0066570A" w:rsidRPr="00CB152B" w14:paraId="392A2DD7" w14:textId="77777777" w:rsidTr="00B56F2B">
        <w:trPr>
          <w:trHeight w:val="3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35BFD75D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25490D2A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 xml:space="preserve">Co najmniej 5 kanałów wzbudzenia światła </w:t>
            </w:r>
          </w:p>
        </w:tc>
      </w:tr>
      <w:tr w:rsidR="0066570A" w:rsidRPr="00CB152B" w14:paraId="1F107810" w14:textId="77777777" w:rsidTr="00B56F2B">
        <w:trPr>
          <w:trHeight w:val="25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2BB1C411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3799DDCE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 xml:space="preserve">Co najmniej 6 kanałów detekcji fluorescencji </w:t>
            </w:r>
          </w:p>
        </w:tc>
      </w:tr>
      <w:tr w:rsidR="0066570A" w:rsidRPr="00CB152B" w14:paraId="297A39DC" w14:textId="77777777" w:rsidTr="00B56F2B">
        <w:trPr>
          <w:trHeight w:val="3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78149225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7E69E4A8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 xml:space="preserve">Możliwość elastycznego doboru filtrów wzbudzania/emisji </w:t>
            </w:r>
          </w:p>
        </w:tc>
      </w:tr>
      <w:tr w:rsidR="0066570A" w:rsidRPr="00CB152B" w14:paraId="3C0E0E2A" w14:textId="77777777" w:rsidTr="00B56F2B">
        <w:trPr>
          <w:trHeight w:val="3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13D15698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2A248029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 xml:space="preserve">Element wzbudzający – dioda LED umożliwiająca jednoczesne wzbudzenie wszystkich </w:t>
            </w:r>
            <w:r>
              <w:rPr>
                <w:rFonts w:asciiTheme="minorHAnsi" w:hAnsiTheme="minorHAnsi" w:cstheme="minorHAnsi"/>
                <w:sz w:val="20"/>
              </w:rPr>
              <w:t>prób</w:t>
            </w:r>
          </w:p>
        </w:tc>
      </w:tr>
      <w:tr w:rsidR="0066570A" w:rsidRPr="00CB152B" w14:paraId="22D68F83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0BC3942E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7055B4B9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 xml:space="preserve">System wzbudzania/detekcji umożliwiający oświetlenie wszystkich dołków w ten sam sposób (pod tym samym kątem). Brak efektu brzegowego. </w:t>
            </w:r>
          </w:p>
        </w:tc>
      </w:tr>
      <w:tr w:rsidR="0066570A" w:rsidRPr="00D5198C" w14:paraId="0FD93F8E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24B9" w14:textId="69185F7B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74EB" w14:textId="03ACA308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 xml:space="preserve">Urządzenie wyposażone w wewnętrzny czytnik kodów kreskowych </w:t>
            </w:r>
          </w:p>
        </w:tc>
      </w:tr>
      <w:tr w:rsidR="0066570A" w:rsidRPr="00D5198C" w14:paraId="2759A071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2C3" w14:textId="6713E96B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BA66" w14:textId="30DA21B4" w:rsidR="0066570A" w:rsidRP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 xml:space="preserve">System otwarty, umożliwiający analizę kwasów nukleinowych przy pomocy różnych barwników i sond molekularnych. </w:t>
            </w:r>
          </w:p>
        </w:tc>
      </w:tr>
      <w:tr w:rsidR="0066570A" w:rsidRPr="00D5198C" w14:paraId="0C16AE4F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30F3" w14:textId="01EE91C1" w:rsidR="0066570A" w:rsidRPr="0066570A" w:rsidRDefault="0066570A" w:rsidP="0066570A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876" w14:textId="77777777" w:rsidR="0066570A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 xml:space="preserve">Oprogramowanie urządzenia umożliwia wykonanie: </w:t>
            </w:r>
          </w:p>
          <w:p w14:paraId="05D5626A" w14:textId="0A85D9ED" w:rsidR="0066570A" w:rsidRPr="0066570A" w:rsidRDefault="0066570A" w:rsidP="00B56F2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 xml:space="preserve">Pomiar ilości kopii DNA w badanej próbie </w:t>
            </w:r>
          </w:p>
          <w:p w14:paraId="662D3082" w14:textId="44DEEB18" w:rsidR="0066570A" w:rsidRPr="0066570A" w:rsidRDefault="0066570A" w:rsidP="00B56F2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 xml:space="preserve">Pomiar poziomu ekspresji genu badanego w stosunku do genu referencyjnego z uwzględnieniem wydajności wyznaczonej na podstawie krzywej standardowej </w:t>
            </w:r>
          </w:p>
          <w:p w14:paraId="28AD2AF8" w14:textId="6992E9F0" w:rsidR="0066570A" w:rsidRPr="0066570A" w:rsidRDefault="0066570A" w:rsidP="00B56F2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 xml:space="preserve">Analizy genotypowania – analiza genotypu na podstawie temperatury topnienia produktu (na podstawie porównania ze standardem) </w:t>
            </w:r>
          </w:p>
          <w:p w14:paraId="16563CF2" w14:textId="3CC11324" w:rsidR="0066570A" w:rsidRPr="0066570A" w:rsidRDefault="0066570A" w:rsidP="00B56F2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 xml:space="preserve">Analizy High Resolution Melting służąca do analizy mutacji (w tym SNP) przy pomocy specjalnego barwnika interkalującego </w:t>
            </w:r>
          </w:p>
          <w:p w14:paraId="388245A6" w14:textId="154652FB" w:rsidR="0066570A" w:rsidRPr="0066570A" w:rsidRDefault="0066570A" w:rsidP="00B56F2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Analizy genotypowania typu end-point bez konieczności przeprowadzania reakcji PCR w tradycyjnym termocyklerze</w:t>
            </w:r>
          </w:p>
          <w:p w14:paraId="24E8A535" w14:textId="4044C030" w:rsidR="0066570A" w:rsidRPr="0066570A" w:rsidRDefault="0066570A" w:rsidP="00B56F2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  <w:szCs w:val="20"/>
              </w:rPr>
              <w:t>Porównania płytek z wynikami dla wszystkich dostępnych aplikacji z uzyskaniem wyniku w oprogramowaniu typu MS Excel (arkusz kalkulacyjnym).</w:t>
            </w:r>
          </w:p>
        </w:tc>
      </w:tr>
      <w:tr w:rsidR="00B04D68" w:rsidRPr="00D5198C" w14:paraId="41CA328A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FA76" w14:textId="385A5176" w:rsidR="00B04D68" w:rsidRPr="0066570A" w:rsidRDefault="0066570A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</w:t>
            </w:r>
            <w:r w:rsidR="00C63F56"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B04D68"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7707" w14:textId="0B1695C8" w:rsidR="00B04D68" w:rsidRPr="00B04D68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>Możliwość wykonania analizy High Resolution Melting na podstawie podobieństwa przebiegu krzywych topnienia.</w:t>
            </w:r>
          </w:p>
        </w:tc>
      </w:tr>
      <w:tr w:rsidR="00B04D68" w:rsidRPr="00D5198C" w14:paraId="79D318DC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C664" w14:textId="7BF3E61F" w:rsidR="00B04D68" w:rsidRPr="0066570A" w:rsidRDefault="0066570A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C63F56"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B04D68" w:rsidRP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E2F" w14:textId="2C147812" w:rsidR="00B04D68" w:rsidRPr="00B04D68" w:rsidRDefault="0066570A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70A">
              <w:rPr>
                <w:rFonts w:asciiTheme="minorHAnsi" w:hAnsiTheme="minorHAnsi" w:cstheme="minorHAnsi"/>
                <w:sz w:val="20"/>
              </w:rPr>
              <w:t>Możliwość obserwowania przeprowadzanej reakcji PCR na bieżąco podczas jej trwania (online) bez konieczności wcześniejszego opisu próbek.</w:t>
            </w:r>
          </w:p>
        </w:tc>
      </w:tr>
      <w:tr w:rsidR="00C63F56" w:rsidRPr="00D5198C" w14:paraId="29804047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A775" w14:textId="63439051" w:rsidR="00C63F56" w:rsidRPr="00C63F56" w:rsidRDefault="00C63F56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665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F789" w14:textId="18CBAD75" w:rsidR="00C63F56" w:rsidRPr="00C63F56" w:rsidRDefault="00AC4BD4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BD4">
              <w:rPr>
                <w:rFonts w:asciiTheme="minorHAnsi" w:hAnsiTheme="minorHAnsi" w:cstheme="minorHAnsi"/>
                <w:sz w:val="20"/>
              </w:rPr>
              <w:t>Możliwość sterowania przebiegiem reakcji w czasie jej trwania poprzez dodanie dowolnej liczby dodatkowych cykli lub wcześniejsze jej zakończenie zależnie od obserwowanych na bieżąco danych.</w:t>
            </w:r>
          </w:p>
        </w:tc>
      </w:tr>
      <w:tr w:rsidR="00C63F56" w:rsidRPr="00D5198C" w14:paraId="490545CE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F98E" w14:textId="73E118B3" w:rsidR="00C63F56" w:rsidRPr="00C63F56" w:rsidRDefault="0066570A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109" w14:textId="2DDF2685" w:rsidR="00C63F56" w:rsidRPr="00C63F56" w:rsidRDefault="00AC4BD4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BD4">
              <w:rPr>
                <w:rFonts w:asciiTheme="minorHAnsi" w:hAnsiTheme="minorHAnsi" w:cstheme="minorHAnsi"/>
                <w:sz w:val="20"/>
              </w:rPr>
              <w:t>Możliwość śledzenia fluorescencji dla każdej próbki podczas reakcji zarówno w zależności od czasu (krzywe fluorescencji) jak i cyklu (krzywe amplifikacji)</w:t>
            </w:r>
          </w:p>
        </w:tc>
      </w:tr>
      <w:tr w:rsidR="00C63F56" w:rsidRPr="00D5198C" w14:paraId="0DD1A9EA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F638" w14:textId="4D101E04" w:rsidR="00C63F56" w:rsidRPr="00C63F56" w:rsidRDefault="0066570A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B82" w14:textId="3B2B238C" w:rsidR="00C63F56" w:rsidRPr="00DF205D" w:rsidRDefault="00AC4BD4" w:rsidP="00B56F2B">
            <w:pPr>
              <w:rPr>
                <w:rFonts w:asciiTheme="minorHAnsi" w:hAnsiTheme="minorHAnsi" w:cstheme="minorHAnsi"/>
                <w:sz w:val="20"/>
              </w:rPr>
            </w:pPr>
            <w:r w:rsidRPr="00AC4BD4">
              <w:rPr>
                <w:rFonts w:asciiTheme="minorHAnsi" w:hAnsiTheme="minorHAnsi" w:cstheme="minorHAnsi"/>
                <w:sz w:val="20"/>
              </w:rPr>
              <w:t>Oprogramowanie aparatu i baza danych z opcją automatycznego zapisywania informacji o wszystkich zmianach w plikach z otrzymanymi wynikami dokonywanych przez użytkowników aparatu</w:t>
            </w:r>
          </w:p>
        </w:tc>
      </w:tr>
      <w:tr w:rsidR="00C63F56" w:rsidRPr="00D5198C" w14:paraId="3AC9D95D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ADC" w14:textId="7DFDE847" w:rsidR="00C63F56" w:rsidRPr="00C63F56" w:rsidRDefault="0066570A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287C" w14:textId="768E2F2B" w:rsidR="00C63F56" w:rsidRPr="00C63F56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Możliwość instalacji oprogramowania na osobnym komputerze</w:t>
            </w:r>
          </w:p>
        </w:tc>
      </w:tr>
      <w:tr w:rsidR="00C63F56" w:rsidRPr="00D5198C" w14:paraId="681A6DD4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9E3" w14:textId="7663ED6A" w:rsidR="00C63F56" w:rsidRPr="00C63F56" w:rsidRDefault="0066570A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73D" w14:textId="4C4362D3" w:rsidR="00C63F56" w:rsidRPr="00881F3C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Brak konieczności odnawiania licencji na oprogramowanie.</w:t>
            </w:r>
          </w:p>
        </w:tc>
      </w:tr>
      <w:tr w:rsidR="00C63F56" w:rsidRPr="00D5198C" w14:paraId="587D9082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EED" w14:textId="59EB2146" w:rsidR="00C63F56" w:rsidRPr="00C63F56" w:rsidRDefault="00DF205D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8BA" w14:textId="412E0E53" w:rsidR="00C63F56" w:rsidRPr="00881F3C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Możliwość instalacji dodatkowych baz danych.</w:t>
            </w:r>
          </w:p>
        </w:tc>
      </w:tr>
      <w:tr w:rsidR="00C63F56" w:rsidRPr="00D5198C" w14:paraId="286F70A9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8C4" w14:textId="791EC905" w:rsidR="00C63F56" w:rsidRPr="00C63F56" w:rsidRDefault="00DF205D" w:rsidP="00C63F56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835D" w14:textId="7C45017F" w:rsidR="00C63F56" w:rsidRPr="00881F3C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Możliwość tworzenie grup użytkowników o różnych poziomach dostępu.</w:t>
            </w:r>
          </w:p>
        </w:tc>
      </w:tr>
      <w:tr w:rsidR="00881F3C" w:rsidRPr="00D5198C" w14:paraId="72930218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27FE" w14:textId="1FB6F436" w:rsidR="00881F3C" w:rsidRPr="00C63F56" w:rsidRDefault="00DF205D" w:rsidP="00881F3C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07D9" w14:textId="160A2046" w:rsidR="00881F3C" w:rsidRPr="00C63F56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Możliwość tworzenia makr oraz szablonów elementów eksperymentu.</w:t>
            </w:r>
          </w:p>
        </w:tc>
      </w:tr>
      <w:tr w:rsidR="002D1224" w:rsidRPr="00D5198C" w14:paraId="56B98D9A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9CDE" w14:textId="5D35A047" w:rsidR="002D1224" w:rsidRDefault="00DF205D" w:rsidP="002D1224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8CE" w14:textId="3F528E14" w:rsidR="002D1224" w:rsidRPr="002D1224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Możliwość automatycznego definiowania próbek krzywej standardowej.</w:t>
            </w:r>
          </w:p>
        </w:tc>
      </w:tr>
      <w:tr w:rsidR="002D1224" w:rsidRPr="00D5198C" w14:paraId="6149190C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6E53" w14:textId="3A28975B" w:rsidR="002D1224" w:rsidRDefault="002D1224" w:rsidP="002D1224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DF20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977" w14:textId="0D03358C" w:rsidR="002D1224" w:rsidRPr="002D1224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Dostępność uniwersalnych obiektów kompensacji koloru.</w:t>
            </w:r>
          </w:p>
        </w:tc>
      </w:tr>
      <w:tr w:rsidR="002D1224" w:rsidRPr="00D5198C" w14:paraId="2442F436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3347" w14:textId="503E2E49" w:rsidR="002D1224" w:rsidRDefault="00DF205D" w:rsidP="002D1224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12B7" w14:textId="075B5D9A" w:rsidR="002D1224" w:rsidRPr="002D1224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Możliwość utworzenia pliku z podsumowaniem reakcji PCR (m.in. parametry reakcji PCR, opis próbek, wyniki, wykresy) w formacie .pdf</w:t>
            </w:r>
          </w:p>
        </w:tc>
      </w:tr>
      <w:tr w:rsidR="002D1224" w:rsidRPr="00D5198C" w14:paraId="214A1610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4FC9" w14:textId="577BA44F" w:rsidR="002D1224" w:rsidRDefault="00DF205D" w:rsidP="002D1224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7EFA" w14:textId="090A7796" w:rsidR="002D1224" w:rsidRPr="002D1224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Możliwość dokumentacji (wydruk / plik .pdf) wyniku autotestu przeprowadzanego każdorazowo po uruchomieniu aparatu.</w:t>
            </w:r>
          </w:p>
        </w:tc>
      </w:tr>
      <w:tr w:rsidR="002D1224" w:rsidRPr="00D5198C" w14:paraId="09A77495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75C" w14:textId="082C69EC" w:rsidR="002D1224" w:rsidRDefault="0024389A" w:rsidP="002D1224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  <w:r w:rsidR="00DF20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20F6" w14:textId="63826C3B" w:rsidR="002D1224" w:rsidRPr="002D1224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Możliwość zdalnego serwisu.</w:t>
            </w:r>
          </w:p>
        </w:tc>
      </w:tr>
      <w:tr w:rsidR="002D1224" w:rsidRPr="00D5198C" w14:paraId="6186215C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287" w14:textId="2A3DBE3D" w:rsidR="002D1224" w:rsidRDefault="00DF205D" w:rsidP="002D1224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2438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AACC" w14:textId="3DF6A424" w:rsidR="002D1224" w:rsidRPr="00DF205D" w:rsidRDefault="00DF205D" w:rsidP="00B56F2B">
            <w:pPr>
              <w:rPr>
                <w:rFonts w:asciiTheme="minorHAnsi" w:hAnsiTheme="minorHAnsi" w:cstheme="minorHAnsi"/>
                <w:sz w:val="20"/>
              </w:rPr>
            </w:pPr>
            <w:r w:rsidRPr="00DF205D">
              <w:rPr>
                <w:rFonts w:asciiTheme="minorHAnsi" w:hAnsiTheme="minorHAnsi" w:cstheme="minorHAnsi"/>
                <w:sz w:val="20"/>
              </w:rPr>
              <w:t>Dostępność opracowanych przez producenta procedur kwalifikacji instalacyjnej i operacyjnej aparatu.</w:t>
            </w:r>
          </w:p>
        </w:tc>
      </w:tr>
      <w:tr w:rsidR="00341B4A" w:rsidRPr="00D5198C" w14:paraId="48B7BE48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EFC7" w14:textId="347068D9" w:rsidR="00341B4A" w:rsidRDefault="00341B4A" w:rsidP="002D1224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2438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87AC" w14:textId="21B850C9" w:rsidR="00341B4A" w:rsidRPr="00DF205D" w:rsidRDefault="00341B4A" w:rsidP="00B56F2B">
            <w:pPr>
              <w:rPr>
                <w:rFonts w:asciiTheme="minorHAnsi" w:hAnsiTheme="minorHAnsi" w:cstheme="minorHAnsi"/>
                <w:sz w:val="20"/>
              </w:rPr>
            </w:pPr>
            <w:r w:rsidRPr="00341B4A">
              <w:rPr>
                <w:rFonts w:asciiTheme="minorHAnsi" w:hAnsiTheme="minorHAnsi" w:cstheme="minorHAnsi"/>
                <w:sz w:val="20"/>
              </w:rPr>
              <w:t>Instrukcja w pełnej wersji w języku polskim oraz angielskim</w:t>
            </w:r>
          </w:p>
        </w:tc>
      </w:tr>
      <w:tr w:rsidR="002D1224" w:rsidRPr="00D5198C" w14:paraId="567207BD" w14:textId="77777777" w:rsidTr="00B56F2B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02A" w14:textId="78D01872" w:rsidR="002D1224" w:rsidRDefault="00341B4A" w:rsidP="002D1224">
            <w:pPr>
              <w:spacing w:before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2438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4F63" w14:textId="404A9549" w:rsidR="00DF205D" w:rsidRDefault="00DF205D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Kompletny, fabrycznie nowy komputer stacjonarny z monitorem, myszką, klawiaturą o parametrach i konfiguracji umożliwiających płynną i komfortową pracę z oprogramowaniem i współpracę z urządzeniem i analizy danych. System operacyjny zgodny z załącznikiem do OPZ - System.</w:t>
            </w:r>
          </w:p>
          <w:p w14:paraId="49FCC175" w14:textId="77777777" w:rsidR="00B56F2B" w:rsidRDefault="00B56F2B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4DEB83" w14:textId="4564E046" w:rsidR="00B56F2B" w:rsidRDefault="00B56F2B" w:rsidP="00B56F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musi spełniać minimalne parametry:</w:t>
            </w:r>
          </w:p>
          <w:p w14:paraId="7D729FCF" w14:textId="77777777" w:rsidR="00B56F2B" w:rsidRPr="00B56F2B" w:rsidRDefault="00B56F2B" w:rsidP="00B56F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6F2B">
              <w:rPr>
                <w:rFonts w:asciiTheme="minorHAnsi" w:hAnsiTheme="minorHAnsi" w:cstheme="minorHAnsi"/>
                <w:sz w:val="20"/>
                <w:szCs w:val="20"/>
              </w:rPr>
              <w:t>przekątna: 21,5 cala</w:t>
            </w:r>
          </w:p>
          <w:p w14:paraId="3169C04F" w14:textId="77777777" w:rsidR="00B56F2B" w:rsidRPr="00B56F2B" w:rsidRDefault="00B56F2B" w:rsidP="00B56F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6F2B">
              <w:rPr>
                <w:rFonts w:asciiTheme="minorHAnsi" w:hAnsiTheme="minorHAnsi" w:cstheme="minorHAnsi"/>
                <w:sz w:val="20"/>
                <w:szCs w:val="20"/>
              </w:rPr>
              <w:t>rozdzielczość: 1920x1080</w:t>
            </w:r>
          </w:p>
          <w:p w14:paraId="41037722" w14:textId="77777777" w:rsidR="00B56F2B" w:rsidRPr="00B56F2B" w:rsidRDefault="00B56F2B" w:rsidP="00B56F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6F2B">
              <w:rPr>
                <w:rFonts w:asciiTheme="minorHAnsi" w:hAnsiTheme="minorHAnsi" w:cstheme="minorHAnsi"/>
                <w:sz w:val="20"/>
                <w:szCs w:val="20"/>
              </w:rPr>
              <w:t>dodatkowe informacje o matrycy: Powłoka matrycy: matowa, rodzaj matrycy: LED, IPS, częstotliwość odświeżania ekranu: 60 Hz, liczba wyświetlanych kolorów: 16,7 mln, czas reakcji: 6 ms, wielkość plamki: 0,248 x 0,248 mm., jasność: 250 cd/m2, kąt widzenia w poziomie/pionie: 178/178 stopni.</w:t>
            </w:r>
          </w:p>
          <w:p w14:paraId="3CFE246D" w14:textId="77777777" w:rsidR="00B56F2B" w:rsidRPr="00B56F2B" w:rsidRDefault="00B56F2B" w:rsidP="00B56F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6F2B">
              <w:rPr>
                <w:rFonts w:asciiTheme="minorHAnsi" w:hAnsiTheme="minorHAnsi" w:cstheme="minorHAnsi"/>
                <w:sz w:val="20"/>
                <w:szCs w:val="20"/>
              </w:rPr>
              <w:t>porty wej./wyj.: VGA (D-sub) - 1 szt., HDMI - 1 szt., DisplayPort - 1 szt, USB 3.1 Gen.1 (USB 3.0) min. 5 szt.</w:t>
            </w:r>
          </w:p>
          <w:p w14:paraId="7CC8319A" w14:textId="77777777" w:rsidR="00B56F2B" w:rsidRPr="00B56F2B" w:rsidRDefault="00B56F2B" w:rsidP="00B56F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6F2B">
              <w:rPr>
                <w:rFonts w:asciiTheme="minorHAnsi" w:hAnsiTheme="minorHAnsi" w:cstheme="minorHAnsi"/>
                <w:sz w:val="20"/>
                <w:szCs w:val="20"/>
              </w:rPr>
              <w:t>pozostałe cechy monitora: regulacja wysokości (Height), regulacja kąta pochylenia (Tilt), regulacja kąta obrotu (Swivel), możliwość montażu na ścianie - VESA 100 x 100 mm, pobór mocy podczas pracy max 55 W, pobór mocy podczas spoczynku max 0,3 W.</w:t>
            </w:r>
          </w:p>
          <w:p w14:paraId="2723D024" w14:textId="77777777" w:rsidR="00B56F2B" w:rsidRPr="00B56F2B" w:rsidRDefault="00B56F2B" w:rsidP="00B56F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6F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Możliwość zabezpieczenia linką (Kensington Lock).</w:t>
            </w:r>
          </w:p>
          <w:p w14:paraId="27F27703" w14:textId="67E81EBE" w:rsidR="00B56F2B" w:rsidRDefault="00B56F2B" w:rsidP="00B56F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6F2B">
              <w:rPr>
                <w:rFonts w:asciiTheme="minorHAnsi" w:hAnsiTheme="minorHAnsi" w:cstheme="minorHAnsi"/>
                <w:sz w:val="20"/>
                <w:szCs w:val="20"/>
              </w:rPr>
              <w:t>Dołączone akcesoria: kabel zasilający, kabel DisplayPort, kabel HDMI, kabel USB 3.0.</w:t>
            </w:r>
          </w:p>
          <w:p w14:paraId="4EF04DFE" w14:textId="77777777" w:rsidR="00B56F2B" w:rsidRPr="00B56F2B" w:rsidRDefault="00B56F2B" w:rsidP="00B56F2B">
            <w:pPr>
              <w:pStyle w:val="Akapitzlis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E8FF1" w14:textId="74DD4CEE" w:rsidR="00B56F2B" w:rsidRDefault="00DF205D" w:rsidP="00B56F2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C0F5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Proszę o podanie parametrów komputera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i </w:t>
            </w:r>
            <w:r w:rsidRPr="00FC0F5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monitora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wraz z</w:t>
            </w:r>
            <w:r w:rsidRPr="00FC0F5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akcesoriami</w:t>
            </w:r>
            <w:r w:rsidR="00B56F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14:paraId="276E885C" w14:textId="439F409D" w:rsidR="00B56F2B" w:rsidRPr="00B56F2B" w:rsidRDefault="00B56F2B" w:rsidP="00B56F2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826B3E1" w14:textId="3DE2485D" w:rsidR="00C63F56" w:rsidRPr="002D1224" w:rsidRDefault="00C63F56" w:rsidP="00CB152B">
      <w:pPr>
        <w:rPr>
          <w:rFonts w:asciiTheme="minorHAnsi" w:hAnsiTheme="minorHAnsi" w:cstheme="minorHAnsi"/>
          <w:sz w:val="20"/>
          <w:szCs w:val="20"/>
        </w:rPr>
      </w:pPr>
    </w:p>
    <w:p w14:paraId="4E2808E1" w14:textId="77777777" w:rsidR="00C63F56" w:rsidRDefault="00C63F56" w:rsidP="00CB152B">
      <w:pPr>
        <w:rPr>
          <w:rFonts w:asciiTheme="minorHAnsi" w:hAnsiTheme="minorHAnsi" w:cstheme="minorHAnsi"/>
          <w:sz w:val="20"/>
          <w:szCs w:val="20"/>
        </w:rPr>
      </w:pPr>
    </w:p>
    <w:p w14:paraId="780A398C" w14:textId="77777777" w:rsidR="00C03105" w:rsidRDefault="00C03105" w:rsidP="00CB152B">
      <w:pPr>
        <w:rPr>
          <w:rFonts w:asciiTheme="minorHAnsi" w:hAnsiTheme="minorHAnsi" w:cstheme="minorHAnsi"/>
          <w:sz w:val="20"/>
          <w:szCs w:val="20"/>
        </w:rPr>
      </w:pPr>
    </w:p>
    <w:p w14:paraId="3B4E9F94" w14:textId="77777777" w:rsidR="00C03105" w:rsidRPr="002D1224" w:rsidRDefault="00C03105" w:rsidP="00CB152B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6363A0EC" w14:textId="03B3152C" w:rsidR="00A530BD" w:rsidRPr="00CB152B" w:rsidRDefault="00DF205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F</w:t>
      </w:r>
      <w:r w:rsidR="00A530BD" w:rsidRPr="00CB152B">
        <w:rPr>
          <w:rFonts w:asciiTheme="minorHAnsi" w:hAnsiTheme="minorHAnsi" w:cstheme="minorHAnsi"/>
          <w:i/>
          <w:color w:val="FF0000"/>
        </w:rPr>
        <w:t>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3CD1" w14:textId="77777777" w:rsidR="00B0389D" w:rsidRDefault="00B0389D" w:rsidP="00DF1622">
      <w:r>
        <w:separator/>
      </w:r>
    </w:p>
  </w:endnote>
  <w:endnote w:type="continuationSeparator" w:id="0">
    <w:p w14:paraId="0ACC03BB" w14:textId="77777777" w:rsidR="00B0389D" w:rsidRDefault="00B0389D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B0389D" w:rsidRDefault="00B038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105">
          <w:rPr>
            <w:noProof/>
          </w:rPr>
          <w:t>3</w:t>
        </w:r>
        <w:r>
          <w:fldChar w:fldCharType="end"/>
        </w:r>
      </w:p>
    </w:sdtContent>
  </w:sdt>
  <w:p w14:paraId="74D50F92" w14:textId="77777777" w:rsidR="00B0389D" w:rsidRDefault="00B03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BAD12" w14:textId="77777777" w:rsidR="00B0389D" w:rsidRDefault="00B0389D" w:rsidP="00DF1622">
      <w:r>
        <w:separator/>
      </w:r>
    </w:p>
  </w:footnote>
  <w:footnote w:type="continuationSeparator" w:id="0">
    <w:p w14:paraId="34DCCB99" w14:textId="77777777" w:rsidR="00B0389D" w:rsidRDefault="00B0389D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4825"/>
    <w:multiLevelType w:val="hybridMultilevel"/>
    <w:tmpl w:val="4D7E2E1E"/>
    <w:lvl w:ilvl="0" w:tplc="AEF68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044CB"/>
    <w:multiLevelType w:val="hybridMultilevel"/>
    <w:tmpl w:val="448E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D4677"/>
    <w:multiLevelType w:val="hybridMultilevel"/>
    <w:tmpl w:val="2FF0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02C80"/>
    <w:multiLevelType w:val="hybridMultilevel"/>
    <w:tmpl w:val="3CF040CE"/>
    <w:lvl w:ilvl="0" w:tplc="AC6E75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03C16"/>
    <w:multiLevelType w:val="hybridMultilevel"/>
    <w:tmpl w:val="D91453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AB17E3"/>
    <w:multiLevelType w:val="hybridMultilevel"/>
    <w:tmpl w:val="346802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A977AD"/>
    <w:multiLevelType w:val="hybridMultilevel"/>
    <w:tmpl w:val="D43A2B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220F6D"/>
    <w:multiLevelType w:val="hybridMultilevel"/>
    <w:tmpl w:val="D6AA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5"/>
  </w:num>
  <w:num w:numId="4">
    <w:abstractNumId w:val="18"/>
  </w:num>
  <w:num w:numId="5">
    <w:abstractNumId w:val="0"/>
  </w:num>
  <w:num w:numId="6">
    <w:abstractNumId w:val="4"/>
  </w:num>
  <w:num w:numId="7">
    <w:abstractNumId w:val="33"/>
  </w:num>
  <w:num w:numId="8">
    <w:abstractNumId w:val="32"/>
  </w:num>
  <w:num w:numId="9">
    <w:abstractNumId w:val="8"/>
  </w:num>
  <w:num w:numId="10">
    <w:abstractNumId w:val="17"/>
  </w:num>
  <w:num w:numId="11">
    <w:abstractNumId w:val="26"/>
  </w:num>
  <w:num w:numId="12">
    <w:abstractNumId w:val="22"/>
  </w:num>
  <w:num w:numId="13">
    <w:abstractNumId w:val="11"/>
  </w:num>
  <w:num w:numId="14">
    <w:abstractNumId w:val="9"/>
  </w:num>
  <w:num w:numId="15">
    <w:abstractNumId w:val="30"/>
  </w:num>
  <w:num w:numId="16">
    <w:abstractNumId w:val="3"/>
  </w:num>
  <w:num w:numId="17">
    <w:abstractNumId w:val="2"/>
  </w:num>
  <w:num w:numId="18">
    <w:abstractNumId w:val="6"/>
  </w:num>
  <w:num w:numId="19">
    <w:abstractNumId w:val="25"/>
  </w:num>
  <w:num w:numId="20">
    <w:abstractNumId w:val="29"/>
  </w:num>
  <w:num w:numId="21">
    <w:abstractNumId w:val="10"/>
  </w:num>
  <w:num w:numId="22">
    <w:abstractNumId w:val="14"/>
  </w:num>
  <w:num w:numId="23">
    <w:abstractNumId w:val="31"/>
  </w:num>
  <w:num w:numId="24">
    <w:abstractNumId w:val="24"/>
  </w:num>
  <w:num w:numId="25">
    <w:abstractNumId w:val="1"/>
  </w:num>
  <w:num w:numId="26">
    <w:abstractNumId w:val="5"/>
  </w:num>
  <w:num w:numId="27">
    <w:abstractNumId w:val="15"/>
  </w:num>
  <w:num w:numId="28">
    <w:abstractNumId w:val="23"/>
  </w:num>
  <w:num w:numId="29">
    <w:abstractNumId w:val="12"/>
  </w:num>
  <w:num w:numId="30">
    <w:abstractNumId w:val="16"/>
  </w:num>
  <w:num w:numId="31">
    <w:abstractNumId w:val="7"/>
  </w:num>
  <w:num w:numId="32">
    <w:abstractNumId w:val="20"/>
  </w:num>
  <w:num w:numId="33">
    <w:abstractNumId w:val="21"/>
  </w:num>
  <w:num w:numId="34">
    <w:abstractNumId w:val="28"/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B5168"/>
    <w:rsid w:val="000D49FE"/>
    <w:rsid w:val="00154807"/>
    <w:rsid w:val="00163B84"/>
    <w:rsid w:val="001B79A0"/>
    <w:rsid w:val="001E73E2"/>
    <w:rsid w:val="0022367C"/>
    <w:rsid w:val="0024389A"/>
    <w:rsid w:val="0028306A"/>
    <w:rsid w:val="00292FF0"/>
    <w:rsid w:val="002B2A36"/>
    <w:rsid w:val="002D1224"/>
    <w:rsid w:val="00341B4A"/>
    <w:rsid w:val="00352ECE"/>
    <w:rsid w:val="00360AA9"/>
    <w:rsid w:val="00364BA0"/>
    <w:rsid w:val="0037323D"/>
    <w:rsid w:val="003D5FFF"/>
    <w:rsid w:val="003F622F"/>
    <w:rsid w:val="00450F5E"/>
    <w:rsid w:val="004923A3"/>
    <w:rsid w:val="004D0F0D"/>
    <w:rsid w:val="00545473"/>
    <w:rsid w:val="005571E4"/>
    <w:rsid w:val="00580971"/>
    <w:rsid w:val="00596BFD"/>
    <w:rsid w:val="00607312"/>
    <w:rsid w:val="00660753"/>
    <w:rsid w:val="0066570A"/>
    <w:rsid w:val="00687BC3"/>
    <w:rsid w:val="007631AA"/>
    <w:rsid w:val="007716E2"/>
    <w:rsid w:val="00787B4C"/>
    <w:rsid w:val="007A659B"/>
    <w:rsid w:val="007B7481"/>
    <w:rsid w:val="007E47B6"/>
    <w:rsid w:val="00806170"/>
    <w:rsid w:val="00881F3C"/>
    <w:rsid w:val="008F7993"/>
    <w:rsid w:val="00A530BD"/>
    <w:rsid w:val="00AB2A0C"/>
    <w:rsid w:val="00AC4BD4"/>
    <w:rsid w:val="00B0389D"/>
    <w:rsid w:val="00B04D68"/>
    <w:rsid w:val="00B329EB"/>
    <w:rsid w:val="00B54F87"/>
    <w:rsid w:val="00B56F2B"/>
    <w:rsid w:val="00BB0763"/>
    <w:rsid w:val="00C03105"/>
    <w:rsid w:val="00C61C27"/>
    <w:rsid w:val="00C63F56"/>
    <w:rsid w:val="00C72AF1"/>
    <w:rsid w:val="00C72F93"/>
    <w:rsid w:val="00C74500"/>
    <w:rsid w:val="00C9285E"/>
    <w:rsid w:val="00CB152B"/>
    <w:rsid w:val="00CC07C0"/>
    <w:rsid w:val="00CC2945"/>
    <w:rsid w:val="00CD2D18"/>
    <w:rsid w:val="00D14C18"/>
    <w:rsid w:val="00D25389"/>
    <w:rsid w:val="00D5198C"/>
    <w:rsid w:val="00DA4F81"/>
    <w:rsid w:val="00DB586C"/>
    <w:rsid w:val="00DF1622"/>
    <w:rsid w:val="00DF205D"/>
    <w:rsid w:val="00EA2CB6"/>
    <w:rsid w:val="00EB4831"/>
    <w:rsid w:val="00F004AE"/>
    <w:rsid w:val="00F17659"/>
    <w:rsid w:val="00F5198F"/>
    <w:rsid w:val="00FB31DF"/>
    <w:rsid w:val="00FC0F50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8d7f34ec-9741-4b79-a27d-5e7851a777a5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c2bcd6b-1cfb-4024-b694-1e96efe8257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Justyna Bittner-Dobak (011969)</cp:lastModifiedBy>
  <cp:revision>23</cp:revision>
  <cp:lastPrinted>2020-11-23T06:37:00Z</cp:lastPrinted>
  <dcterms:created xsi:type="dcterms:W3CDTF">2021-04-01T07:42:00Z</dcterms:created>
  <dcterms:modified xsi:type="dcterms:W3CDTF">2021-05-17T09:15:00Z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