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CE5A" w14:textId="135940B4" w:rsidR="002C1368" w:rsidRPr="00C1702A" w:rsidRDefault="002C1368" w:rsidP="009A078F">
      <w:pPr>
        <w:spacing w:after="40" w:line="260" w:lineRule="atLeast"/>
        <w:ind w:right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1702A">
        <w:rPr>
          <w:rFonts w:ascii="Arial" w:hAnsi="Arial" w:cs="Arial"/>
          <w:b/>
          <w:bCs/>
          <w:color w:val="auto"/>
          <w:sz w:val="24"/>
          <w:szCs w:val="24"/>
        </w:rPr>
        <w:t xml:space="preserve">PROGRAM FUNKCJONALNO-UŻYTKOWY CAŁOROCZNEGO KOMPLEKSU WYSTAWIENNICZEGO WRAZ Z FUNKCJAMI OBSŁUGI RUCHU TURYSTYCZNEGO, </w:t>
      </w:r>
      <w:r w:rsidR="008D3499" w:rsidRPr="00C1702A">
        <w:rPr>
          <w:rFonts w:ascii="Arial" w:hAnsi="Arial" w:cs="Arial"/>
          <w:b/>
          <w:bCs/>
          <w:color w:val="auto"/>
          <w:sz w:val="24"/>
          <w:szCs w:val="24"/>
        </w:rPr>
        <w:t xml:space="preserve">EDUKACJI, </w:t>
      </w:r>
      <w:r w:rsidRPr="00C1702A">
        <w:rPr>
          <w:rFonts w:ascii="Arial" w:hAnsi="Arial" w:cs="Arial"/>
          <w:b/>
          <w:bCs/>
          <w:color w:val="auto"/>
          <w:sz w:val="24"/>
          <w:szCs w:val="24"/>
        </w:rPr>
        <w:t xml:space="preserve">GASTRONOMI </w:t>
      </w:r>
      <w:r w:rsidR="00021808" w:rsidRPr="00C1702A">
        <w:rPr>
          <w:rFonts w:ascii="Arial" w:hAnsi="Arial" w:cs="Arial"/>
          <w:b/>
          <w:bCs/>
          <w:color w:val="auto"/>
          <w:sz w:val="24"/>
          <w:szCs w:val="24"/>
        </w:rPr>
        <w:t>ORAZ</w:t>
      </w:r>
      <w:r w:rsidRPr="00C1702A">
        <w:rPr>
          <w:rFonts w:ascii="Arial" w:hAnsi="Arial" w:cs="Arial"/>
          <w:b/>
          <w:bCs/>
          <w:color w:val="auto"/>
          <w:sz w:val="24"/>
          <w:szCs w:val="24"/>
        </w:rPr>
        <w:t xml:space="preserve"> SOCJALNYMI</w:t>
      </w:r>
    </w:p>
    <w:p w14:paraId="78EC9A4A" w14:textId="37D1CC3E" w:rsidR="00E327C6" w:rsidRPr="00C1702A" w:rsidRDefault="00156974" w:rsidP="009A078F">
      <w:pPr>
        <w:spacing w:after="40" w:line="260" w:lineRule="atLeast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C1702A">
        <w:rPr>
          <w:rFonts w:ascii="Arial" w:hAnsi="Arial" w:cs="Arial"/>
          <w:b/>
          <w:bCs/>
          <w:color w:val="auto"/>
          <w:sz w:val="24"/>
          <w:szCs w:val="24"/>
        </w:rPr>
        <w:t xml:space="preserve"> ADAPTACJ</w:t>
      </w:r>
      <w:r w:rsidR="008D3499" w:rsidRPr="00C1702A">
        <w:rPr>
          <w:rFonts w:ascii="Arial" w:hAnsi="Arial" w:cs="Arial"/>
          <w:b/>
          <w:bCs/>
          <w:color w:val="auto"/>
          <w:sz w:val="24"/>
          <w:szCs w:val="24"/>
        </w:rPr>
        <w:t xml:space="preserve">A </w:t>
      </w:r>
      <w:r w:rsidR="007478EB" w:rsidRPr="00C1702A">
        <w:rPr>
          <w:rFonts w:ascii="Arial" w:hAnsi="Arial" w:cs="Arial"/>
          <w:b/>
          <w:bCs/>
          <w:sz w:val="24"/>
          <w:szCs w:val="24"/>
        </w:rPr>
        <w:t>HANGARU JACHTOWEGO</w:t>
      </w:r>
      <w:r w:rsidR="00C1702A" w:rsidRPr="00C1702A">
        <w:rPr>
          <w:rFonts w:ascii="Arial" w:hAnsi="Arial" w:cs="Arial"/>
          <w:b/>
          <w:bCs/>
          <w:sz w:val="24"/>
          <w:szCs w:val="24"/>
        </w:rPr>
        <w:t xml:space="preserve"> </w:t>
      </w:r>
      <w:r w:rsidR="00E327C6" w:rsidRPr="00C1702A">
        <w:rPr>
          <w:rFonts w:ascii="Arial" w:hAnsi="Arial" w:cs="Arial"/>
          <w:b/>
          <w:sz w:val="24"/>
          <w:szCs w:val="24"/>
        </w:rPr>
        <w:t>TWIERDZY WISŁOUJŚCIE W GDAŃSKU</w:t>
      </w:r>
    </w:p>
    <w:p w14:paraId="091F0652" w14:textId="77777777" w:rsidR="00E327C6" w:rsidRPr="00C1702A" w:rsidRDefault="00E327C6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  <w:r w:rsidRPr="00C1702A">
        <w:rPr>
          <w:rFonts w:ascii="Arial" w:hAnsi="Arial" w:cs="Arial"/>
          <w:sz w:val="20"/>
          <w:szCs w:val="20"/>
        </w:rPr>
        <w:t xml:space="preserve">Adres: 80-551 Gdańsk, ul. Stara Twierdza </w:t>
      </w:r>
      <w:r w:rsidR="007478EB" w:rsidRPr="00C1702A">
        <w:rPr>
          <w:rFonts w:ascii="Arial" w:hAnsi="Arial" w:cs="Arial"/>
          <w:sz w:val="20"/>
          <w:szCs w:val="20"/>
        </w:rPr>
        <w:t>8a</w:t>
      </w:r>
    </w:p>
    <w:p w14:paraId="5EBCAEC8" w14:textId="77777777" w:rsidR="005B19BB" w:rsidRPr="00C1702A" w:rsidRDefault="005B19BB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078A0C3F" w14:textId="77777777" w:rsidR="00501AB9" w:rsidRPr="00C1702A" w:rsidRDefault="00501AB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56047B57" w14:textId="77777777" w:rsidR="00501AB9" w:rsidRPr="00C1702A" w:rsidRDefault="00501AB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04FCAA20" w14:textId="77777777" w:rsidR="00E72B09" w:rsidRPr="00C1702A" w:rsidRDefault="00E72B0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6C174837" w14:textId="77777777" w:rsidR="00E72B09" w:rsidRPr="00C1702A" w:rsidRDefault="00E72B0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543A67D5" w14:textId="77777777" w:rsidR="00E72B09" w:rsidRPr="00C1702A" w:rsidRDefault="00E72B0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5FAE27F9" w14:textId="77777777" w:rsidR="00E72B09" w:rsidRPr="00C1702A" w:rsidRDefault="00E72B0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3740743E" w14:textId="77777777" w:rsidR="00E72B09" w:rsidRPr="00C1702A" w:rsidRDefault="00E72B0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3EB840DF" w14:textId="77777777" w:rsidR="00E72B09" w:rsidRPr="00C1702A" w:rsidRDefault="00E72B0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3D9D7664" w14:textId="77777777" w:rsidR="00E72B09" w:rsidRPr="00C1702A" w:rsidRDefault="00E72B0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5CD3A9D3" w14:textId="77777777" w:rsidR="00E72B09" w:rsidRPr="00C1702A" w:rsidRDefault="00E72B0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3F26F924" w14:textId="77777777" w:rsidR="00501AB9" w:rsidRPr="00C1702A" w:rsidRDefault="00501AB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5530ACB9" w14:textId="20A9B731" w:rsidR="00501AB9" w:rsidRPr="00C1702A" w:rsidRDefault="00501AB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29E584B4" w14:textId="6520C62E" w:rsidR="00976818" w:rsidRPr="00C1702A" w:rsidRDefault="00976818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36EBD4EA" w14:textId="130BE844" w:rsidR="00976818" w:rsidRDefault="00976818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4ADA316C" w14:textId="2FA6E955" w:rsidR="009A078F" w:rsidRDefault="009A078F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31522757" w14:textId="37BBF6B1" w:rsidR="009A078F" w:rsidRDefault="009A078F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40F3C615" w14:textId="6302EF0A" w:rsidR="009A078F" w:rsidRDefault="009A078F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0299438E" w14:textId="4CC147CC" w:rsidR="009A078F" w:rsidRDefault="009A078F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2DEC3335" w14:textId="5975376B" w:rsidR="009A078F" w:rsidRDefault="009A078F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00DBE26F" w14:textId="0E8A78A5" w:rsidR="009A078F" w:rsidRDefault="009A078F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71430DE2" w14:textId="3478886F" w:rsidR="009A078F" w:rsidRDefault="009A078F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0F16C6CB" w14:textId="77D5239F" w:rsidR="009A078F" w:rsidRDefault="009A078F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46C48EB6" w14:textId="7DA3B102" w:rsidR="009A078F" w:rsidRDefault="009A078F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4BC98401" w14:textId="77777777" w:rsidR="009A078F" w:rsidRDefault="009A078F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6BCA054F" w14:textId="403A8E47" w:rsidR="00C1702A" w:rsidRDefault="00C1702A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21711DD3" w14:textId="0B91EDF0" w:rsidR="00C1702A" w:rsidRDefault="00C1702A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7861D232" w14:textId="5BC9C957" w:rsidR="00C1702A" w:rsidRDefault="00C1702A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673DEE23" w14:textId="1B09C4CF" w:rsidR="00C1702A" w:rsidRDefault="00C1702A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60CFFBF5" w14:textId="2601E024" w:rsidR="00016AFE" w:rsidRDefault="00016AFE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31007B67" w14:textId="7A8AEC57" w:rsidR="00016AFE" w:rsidRDefault="00016AFE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3E99C236" w14:textId="2BBC6E28" w:rsidR="00016AFE" w:rsidRDefault="00016AFE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76DAB484" w14:textId="3F4C30CD" w:rsidR="00016AFE" w:rsidRDefault="00016AFE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14E32ED9" w14:textId="77777777" w:rsidR="00016AFE" w:rsidRDefault="00016AFE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7E01A812" w14:textId="2099A53D" w:rsidR="00C1702A" w:rsidRDefault="00C1702A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4164E1D0" w14:textId="5637BB6F" w:rsidR="00C1702A" w:rsidRDefault="00C1702A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71505CC0" w14:textId="37B25FA1" w:rsidR="00C1702A" w:rsidRDefault="00C1702A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510B6965" w14:textId="77777777" w:rsidR="00C1702A" w:rsidRPr="00C1702A" w:rsidRDefault="00C1702A" w:rsidP="009A078F">
      <w:pPr>
        <w:spacing w:after="40" w:line="260" w:lineRule="atLeast"/>
        <w:ind w:right="0"/>
        <w:outlineLvl w:val="0"/>
        <w:rPr>
          <w:rFonts w:ascii="Arial" w:hAnsi="Arial" w:cs="Arial"/>
          <w:sz w:val="20"/>
          <w:szCs w:val="20"/>
        </w:rPr>
      </w:pPr>
    </w:p>
    <w:p w14:paraId="475F1C75" w14:textId="77777777" w:rsidR="00501AB9" w:rsidRPr="00C1702A" w:rsidRDefault="00501AB9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63BB42CE" w14:textId="52B9A9C2" w:rsidR="00976818" w:rsidRPr="00C1702A" w:rsidRDefault="00E327C6" w:rsidP="009A078F">
      <w:pPr>
        <w:spacing w:after="40" w:line="260" w:lineRule="atLeast"/>
        <w:ind w:right="0"/>
        <w:jc w:val="center"/>
        <w:outlineLvl w:val="0"/>
        <w:rPr>
          <w:rFonts w:ascii="Arial" w:hAnsi="Arial" w:cs="Arial"/>
          <w:sz w:val="20"/>
          <w:szCs w:val="20"/>
        </w:rPr>
      </w:pPr>
      <w:r w:rsidRPr="00C1702A">
        <w:rPr>
          <w:rFonts w:ascii="Arial" w:hAnsi="Arial" w:cs="Arial"/>
          <w:sz w:val="20"/>
          <w:szCs w:val="20"/>
        </w:rPr>
        <w:t xml:space="preserve">Gdańsk, </w:t>
      </w:r>
      <w:r w:rsidR="00976818" w:rsidRPr="00C1702A">
        <w:rPr>
          <w:rFonts w:ascii="Arial" w:hAnsi="Arial" w:cs="Arial"/>
          <w:sz w:val="20"/>
          <w:szCs w:val="20"/>
        </w:rPr>
        <w:t>0</w:t>
      </w:r>
      <w:r w:rsidR="00344B9D" w:rsidRPr="00C1702A">
        <w:rPr>
          <w:rFonts w:ascii="Arial" w:hAnsi="Arial" w:cs="Arial"/>
          <w:sz w:val="20"/>
          <w:szCs w:val="20"/>
        </w:rPr>
        <w:t>1</w:t>
      </w:r>
      <w:r w:rsidRPr="00C1702A">
        <w:rPr>
          <w:rFonts w:ascii="Arial" w:hAnsi="Arial" w:cs="Arial"/>
          <w:sz w:val="20"/>
          <w:szCs w:val="20"/>
        </w:rPr>
        <w:t>.20</w:t>
      </w:r>
      <w:r w:rsidR="00060B4D" w:rsidRPr="00C1702A">
        <w:rPr>
          <w:rFonts w:ascii="Arial" w:hAnsi="Arial" w:cs="Arial"/>
          <w:sz w:val="20"/>
          <w:szCs w:val="20"/>
        </w:rPr>
        <w:t>2</w:t>
      </w:r>
      <w:r w:rsidR="00976818" w:rsidRPr="00C1702A">
        <w:rPr>
          <w:rFonts w:ascii="Arial" w:hAnsi="Arial" w:cs="Arial"/>
          <w:sz w:val="20"/>
          <w:szCs w:val="20"/>
        </w:rPr>
        <w:t>2</w:t>
      </w:r>
      <w:r w:rsidR="00976818" w:rsidRPr="00C1702A">
        <w:rPr>
          <w:rFonts w:ascii="Arial" w:hAnsi="Arial" w:cs="Arial"/>
          <w:sz w:val="20"/>
          <w:szCs w:val="20"/>
        </w:rPr>
        <w:br w:type="page"/>
      </w:r>
    </w:p>
    <w:p w14:paraId="520D5A35" w14:textId="3B93DAEC" w:rsidR="00B64FD9" w:rsidRPr="00C1702A" w:rsidRDefault="00CA2C3D" w:rsidP="009A078F">
      <w:pPr>
        <w:spacing w:after="40" w:line="260" w:lineRule="atLeast"/>
        <w:ind w:right="0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C1702A">
        <w:rPr>
          <w:rFonts w:ascii="Arial" w:hAnsi="Arial" w:cs="Arial"/>
          <w:sz w:val="20"/>
          <w:szCs w:val="20"/>
        </w:rPr>
        <w:lastRenderedPageBreak/>
        <w:t xml:space="preserve">Niniejsze opracowanie </w:t>
      </w:r>
      <w:r w:rsidR="00681A80" w:rsidRPr="00C1702A">
        <w:rPr>
          <w:rFonts w:ascii="Arial" w:hAnsi="Arial" w:cs="Arial"/>
          <w:sz w:val="20"/>
          <w:szCs w:val="20"/>
        </w:rPr>
        <w:t xml:space="preserve">jest zapisem wymogów stawianych przez Muzeum Gdańska wobec obiektu Hangaru jachtowego Twierdzy </w:t>
      </w:r>
      <w:proofErr w:type="spellStart"/>
      <w:r w:rsidR="00681A80" w:rsidRPr="00C1702A">
        <w:rPr>
          <w:rFonts w:ascii="Arial" w:hAnsi="Arial" w:cs="Arial"/>
          <w:sz w:val="20"/>
          <w:szCs w:val="20"/>
        </w:rPr>
        <w:t>Wisłoujście</w:t>
      </w:r>
      <w:proofErr w:type="spellEnd"/>
      <w:r w:rsidR="00681A80" w:rsidRPr="00C1702A">
        <w:rPr>
          <w:rFonts w:ascii="Arial" w:hAnsi="Arial" w:cs="Arial"/>
          <w:sz w:val="20"/>
          <w:szCs w:val="20"/>
        </w:rPr>
        <w:t xml:space="preserve"> jako </w:t>
      </w:r>
      <w:r w:rsidR="00976818" w:rsidRPr="00C1702A">
        <w:rPr>
          <w:rFonts w:ascii="Arial" w:hAnsi="Arial" w:cs="Arial"/>
          <w:sz w:val="20"/>
          <w:szCs w:val="20"/>
        </w:rPr>
        <w:t>całorocznego kompleksu wystawienniczego pełniącego również funkcje obsługi ruchu turystycznego, edukacyjne i gastronomiczne oraz zaplecza socjalnego</w:t>
      </w:r>
      <w:r w:rsidR="00681A80" w:rsidRPr="00C1702A">
        <w:rPr>
          <w:rFonts w:ascii="Arial" w:hAnsi="Arial" w:cs="Arial"/>
          <w:sz w:val="20"/>
          <w:szCs w:val="20"/>
        </w:rPr>
        <w:t>.</w:t>
      </w:r>
      <w:r w:rsidR="002F467B" w:rsidRPr="00C1702A">
        <w:rPr>
          <w:rFonts w:ascii="Arial" w:hAnsi="Arial" w:cs="Arial"/>
          <w:sz w:val="20"/>
          <w:szCs w:val="20"/>
        </w:rPr>
        <w:t xml:space="preserve"> </w:t>
      </w:r>
      <w:r w:rsidR="00681A80" w:rsidRPr="00C1702A">
        <w:rPr>
          <w:rFonts w:ascii="Arial" w:hAnsi="Arial" w:cs="Arial"/>
          <w:sz w:val="20"/>
          <w:szCs w:val="20"/>
        </w:rPr>
        <w:t xml:space="preserve">Wymogi </w:t>
      </w:r>
      <w:r w:rsidR="00541CE1" w:rsidRPr="00C1702A">
        <w:rPr>
          <w:rFonts w:ascii="Arial" w:hAnsi="Arial" w:cs="Arial"/>
          <w:sz w:val="20"/>
          <w:szCs w:val="20"/>
        </w:rPr>
        <w:t>stanowią podstaw</w:t>
      </w:r>
      <w:r w:rsidR="00B35292" w:rsidRPr="00C1702A">
        <w:rPr>
          <w:rFonts w:ascii="Arial" w:hAnsi="Arial" w:cs="Arial"/>
          <w:sz w:val="20"/>
          <w:szCs w:val="20"/>
        </w:rPr>
        <w:t>ę</w:t>
      </w:r>
      <w:r w:rsidR="00541CE1" w:rsidRPr="00C1702A">
        <w:rPr>
          <w:rFonts w:ascii="Arial" w:hAnsi="Arial" w:cs="Arial"/>
          <w:sz w:val="20"/>
          <w:szCs w:val="20"/>
        </w:rPr>
        <w:t xml:space="preserve"> do </w:t>
      </w:r>
      <w:r w:rsidR="00B64FD9" w:rsidRPr="00C1702A">
        <w:rPr>
          <w:rFonts w:ascii="Arial" w:hAnsi="Arial" w:cs="Arial"/>
          <w:sz w:val="20"/>
          <w:szCs w:val="20"/>
        </w:rPr>
        <w:t xml:space="preserve">opracowania kompleksowej dokumentacji projektowej wyżej wymienionego obiektu i dostosowania go do oczekiwanych funkcji niezbędnych do prowadzenia działalności muzealnej Oddziału Muzeum Gdańska – Twierdzy </w:t>
      </w:r>
      <w:proofErr w:type="spellStart"/>
      <w:r w:rsidR="00B64FD9" w:rsidRPr="00C1702A">
        <w:rPr>
          <w:rFonts w:ascii="Arial" w:hAnsi="Arial" w:cs="Arial"/>
          <w:sz w:val="20"/>
          <w:szCs w:val="20"/>
        </w:rPr>
        <w:t>Wisłoujście</w:t>
      </w:r>
      <w:proofErr w:type="spellEnd"/>
      <w:r w:rsidR="00B64FD9" w:rsidRPr="00C1702A">
        <w:rPr>
          <w:rFonts w:ascii="Arial" w:hAnsi="Arial" w:cs="Arial"/>
          <w:sz w:val="20"/>
          <w:szCs w:val="20"/>
        </w:rPr>
        <w:t>.</w:t>
      </w:r>
    </w:p>
    <w:p w14:paraId="4409FB21" w14:textId="6E3249D9" w:rsidR="004020F3" w:rsidRPr="00C1702A" w:rsidRDefault="00303373" w:rsidP="009A078F">
      <w:pPr>
        <w:spacing w:after="40" w:line="260" w:lineRule="atLeast"/>
        <w:ind w:right="0" w:firstLine="56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</w:rPr>
        <w:t xml:space="preserve">Muzeum Gdańska, w perspektywie </w:t>
      </w:r>
      <w:r w:rsidR="0018535A" w:rsidRPr="00C1702A">
        <w:rPr>
          <w:rFonts w:ascii="Arial" w:hAnsi="Arial" w:cs="Arial"/>
          <w:color w:val="000000" w:themeColor="text1"/>
          <w:sz w:val="20"/>
          <w:szCs w:val="20"/>
        </w:rPr>
        <w:t>najbliższych lat</w:t>
      </w:r>
      <w:r w:rsidRPr="00C1702A">
        <w:rPr>
          <w:rFonts w:ascii="Arial" w:hAnsi="Arial" w:cs="Arial"/>
          <w:color w:val="000000" w:themeColor="text1"/>
          <w:sz w:val="20"/>
          <w:szCs w:val="20"/>
        </w:rPr>
        <w:t xml:space="preserve">, planuje </w:t>
      </w:r>
      <w:r w:rsidR="00E03BE8" w:rsidRPr="00C1702A">
        <w:rPr>
          <w:rFonts w:ascii="Arial" w:hAnsi="Arial" w:cs="Arial"/>
          <w:color w:val="000000" w:themeColor="text1"/>
          <w:sz w:val="20"/>
          <w:szCs w:val="20"/>
        </w:rPr>
        <w:t>u</w:t>
      </w:r>
      <w:r w:rsidRPr="00C1702A">
        <w:rPr>
          <w:rFonts w:ascii="Arial" w:hAnsi="Arial" w:cs="Arial"/>
          <w:color w:val="000000" w:themeColor="text1"/>
          <w:sz w:val="20"/>
          <w:szCs w:val="20"/>
        </w:rPr>
        <w:t>tworzenie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57FD" w:rsidRPr="00C1702A">
        <w:rPr>
          <w:rFonts w:ascii="Arial" w:hAnsi="Arial" w:cs="Arial"/>
          <w:color w:val="000000" w:themeColor="text1"/>
          <w:sz w:val="20"/>
          <w:szCs w:val="20"/>
        </w:rPr>
        <w:t>warunków dla pełnego wykorzystania potencjału obiektu muzealnego</w:t>
      </w:r>
      <w:r w:rsidRPr="00C1702A">
        <w:rPr>
          <w:rFonts w:ascii="Arial" w:hAnsi="Arial" w:cs="Arial"/>
          <w:color w:val="000000" w:themeColor="text1"/>
          <w:sz w:val="20"/>
          <w:szCs w:val="20"/>
        </w:rPr>
        <w:t xml:space="preserve"> Twierdzy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</w:rPr>
        <w:t>Wisłoujście</w:t>
      </w:r>
      <w:proofErr w:type="spellEnd"/>
      <w:r w:rsidR="004020F3" w:rsidRPr="00C1702A">
        <w:rPr>
          <w:rFonts w:ascii="Arial" w:hAnsi="Arial" w:cs="Arial"/>
          <w:color w:val="000000" w:themeColor="text1"/>
          <w:sz w:val="20"/>
          <w:szCs w:val="20"/>
        </w:rPr>
        <w:t xml:space="preserve">. Aktualnie, ze względu na obowiązujące przepisy, </w:t>
      </w:r>
      <w:r w:rsidRPr="00C1702A">
        <w:rPr>
          <w:rFonts w:ascii="Arial" w:hAnsi="Arial" w:cs="Arial"/>
          <w:color w:val="000000" w:themeColor="text1"/>
          <w:sz w:val="20"/>
          <w:szCs w:val="20"/>
        </w:rPr>
        <w:t xml:space="preserve">Fort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</w:rPr>
        <w:t>Carr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é</w:t>
      </w:r>
      <w:proofErr w:type="spellEnd"/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4020F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musi być zamknięty dla zwiedzających w okresie od końca września do początku maja. W zaistniałej sytuacji</w:t>
      </w:r>
      <w:r w:rsidR="006A67A6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całoroczne</w:t>
      </w:r>
      <w:r w:rsidR="004020F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prowadzenie działalności muzealnej możliwe jest tylko poza obrębem fortu. Spośród budynków </w:t>
      </w:r>
      <w:r w:rsidR="00D1689F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istniejących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6A67A6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na tym obszarze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="004020F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wyborem naturalnym jest Hangar jachtowy</w:t>
      </w:r>
      <w:r w:rsidR="0002504D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="004020F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tzw. </w:t>
      </w:r>
      <w:r w:rsidR="000948D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„</w:t>
      </w:r>
      <w:r w:rsidR="004020F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uniwersytecki</w:t>
      </w:r>
      <w:r w:rsidR="000948D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”</w:t>
      </w:r>
      <w:r w:rsidR="0002504D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="004020F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położony w sąsiedztwie fortu przy </w:t>
      </w:r>
      <w:r w:rsidR="0002504D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</w:t>
      </w:r>
      <w:r w:rsidR="004020F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l. Stara Twierdza 8A</w:t>
      </w:r>
      <w:r w:rsidR="00E5401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4DF4028B" w14:textId="77777777" w:rsidR="00C9368A" w:rsidRPr="00C1702A" w:rsidRDefault="00357045" w:rsidP="009A078F">
      <w:pPr>
        <w:spacing w:after="40" w:line="260" w:lineRule="atLeast"/>
        <w:ind w:right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5FBC0EDB" wp14:editId="4C92D2C8">
            <wp:extent cx="4305300" cy="322897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16_1149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540" cy="322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27B5E" w14:textId="6B5DBA64" w:rsidR="00426B43" w:rsidRPr="00C1702A" w:rsidRDefault="00CB33A7" w:rsidP="009A078F">
      <w:pPr>
        <w:spacing w:after="40" w:line="260" w:lineRule="atLeast"/>
        <w:ind w:right="0" w:firstLine="56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Położenie budynku: w centralnej części szańca wschodniego, naprzeciw wjazdu do fortu i w bliskim sąsiedztwie zabytkowych koszar oraz sekcji okrętu podwodnego – wskazuje, że oprócz działalności muzealnej powinien on pełnić funkcję głównej informacji turystycznej Twierdzy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Wisłoujście</w:t>
      </w:r>
      <w:proofErr w:type="spellEnd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wraz z kasą biletową.</w:t>
      </w:r>
    </w:p>
    <w:p w14:paraId="51139C11" w14:textId="77777777" w:rsidR="00CB33A7" w:rsidRPr="00C1702A" w:rsidRDefault="00CA5B7F" w:rsidP="009A078F">
      <w:pPr>
        <w:spacing w:after="40" w:line="260" w:lineRule="atLeast"/>
        <w:ind w:right="0" w:firstLine="56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Ekspozycją powin</w:t>
      </w:r>
      <w:r w:rsidR="00CB33A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n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być</w:t>
      </w:r>
      <w:r w:rsidR="00CB33A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historia Twierdzy </w:t>
      </w:r>
      <w:proofErr w:type="spellStart"/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Wisłoujście</w:t>
      </w:r>
      <w:proofErr w:type="spellEnd"/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 jej służby dla Gdańska i Rzeczpospolitej oraz wybrane, ważniejsze</w:t>
      </w:r>
      <w:r w:rsidR="00CB33A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wydarzenia 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której była świadkiem</w:t>
      </w:r>
      <w:r w:rsidR="00CB33A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. Planowane jest eksponowanie zabytków archeologicznych, zarówno tekstylnych, skórzanych, drewnianych i metalowych. Uzupełnieniem tej narracji będą makiety lub dioramy fortyfikacji w dużej skali oraz modele okrętów.</w:t>
      </w:r>
    </w:p>
    <w:p w14:paraId="7857069F" w14:textId="77777777" w:rsidR="00CB33A7" w:rsidRPr="00C1702A" w:rsidRDefault="00CB33A7" w:rsidP="009A078F">
      <w:pPr>
        <w:spacing w:after="40" w:line="260" w:lineRule="atLeast"/>
        <w:ind w:right="0" w:firstLine="56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Budynek hangaru</w:t>
      </w:r>
      <w:r w:rsidR="00BC76E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prawdopodobnie</w:t>
      </w:r>
      <w:r w:rsidR="005E369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powstał w latach 4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0. XX wieku. Wówczas swoją siedzibę otrzymały tu niemieckie </w:t>
      </w:r>
      <w:r w:rsidR="00255E56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ośrodki szkoleń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D3C6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morskich</w:t>
      </w:r>
      <w:r w:rsidR="00255E56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dla </w:t>
      </w:r>
      <w:proofErr w:type="spellStart"/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młodzierzy</w:t>
      </w:r>
      <w:proofErr w:type="spellEnd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. Budynek pełnił rolę magazynu jachtów oraz warsztatu naprawczego. Po 1945 roku </w:t>
      </w:r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dalej był siedzibą klubów żeglarskich, tym razem polskich – </w:t>
      </w:r>
      <w:r w:rsidR="00913E7D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AZM, AKM, </w:t>
      </w:r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AKM-AZS, następnie sekcji żeglarskiej Uniwersytetu Gdańskiego (stąd potocznie używana nazwa: „</w:t>
      </w:r>
      <w:r w:rsidR="004A4E56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hangar </w:t>
      </w:r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uniwersytecki”). 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Zakończenie</w:t>
      </w:r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działalności klubów żeglarskich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 połowie lat 90.</w:t>
      </w:r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ostatecznie zakończyło użytkowanie obiektu zgodnie z jego przeznaczeniem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i przez następne lata budynek był celem szabrowników 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oraz </w:t>
      </w:r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ulegał stopniowej degradacji.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Po dawnej funkcji hangaru</w:t>
      </w:r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A0EC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zachowały się</w:t>
      </w:r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narzędzia służące do wprowadzania jachtów do hangaru:</w:t>
      </w:r>
      <w:r w:rsidR="001D48D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slip z</w:t>
      </w:r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szyn</w:t>
      </w:r>
      <w:r w:rsidR="001D48D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amii</w:t>
      </w:r>
      <w:proofErr w:type="spellEnd"/>
      <w:r w:rsidR="00D405E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stalowym wózkiem, kabestan</w:t>
      </w:r>
      <w:r w:rsidR="001D48D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3DA608C8" w14:textId="004106A8" w:rsidR="00157246" w:rsidRPr="00C1702A" w:rsidRDefault="001431DF" w:rsidP="009A078F">
      <w:pPr>
        <w:spacing w:after="40" w:line="260" w:lineRule="atLeast"/>
        <w:ind w:right="0" w:firstLine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Na potrzebę obiektu muzealnego zaplanowano</w:t>
      </w:r>
      <w:r w:rsidR="00157246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zaadaptowanie </w:t>
      </w:r>
      <w:r w:rsidR="0002504D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całości </w:t>
      </w:r>
      <w:r w:rsidR="00E5401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hangaru wraz z przyległymi obiektami i okolicznym </w:t>
      </w:r>
      <w:proofErr w:type="spellStart"/>
      <w:r w:rsidR="00E5401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terenem</w:t>
      </w:r>
      <w:r w:rsidR="0002504D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działni</w:t>
      </w:r>
      <w:proofErr w:type="spellEnd"/>
      <w:r w:rsidR="0002504D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nr </w:t>
      </w:r>
      <w:r w:rsidR="00AF6A91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określono 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pięć</w:t>
      </w:r>
      <w:r w:rsidR="00AF6A91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F467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obszarów</w:t>
      </w:r>
      <w:r w:rsidR="00AF6A91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:</w:t>
      </w:r>
    </w:p>
    <w:p w14:paraId="25ABC6C9" w14:textId="77777777" w:rsidR="00AF6A91" w:rsidRPr="00C1702A" w:rsidRDefault="00AF6A91" w:rsidP="009A078F">
      <w:pPr>
        <w:pStyle w:val="Akapitzlist"/>
        <w:numPr>
          <w:ilvl w:val="0"/>
          <w:numId w:val="1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Muzeum (</w:t>
      </w:r>
      <w:r w:rsidR="00AA29C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na </w:t>
      </w:r>
      <w:r w:rsidR="0080301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rys.1</w:t>
      </w:r>
      <w:r w:rsidR="00AA29C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pod nazwą: </w:t>
      </w:r>
      <w:r w:rsidR="0080301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„Hangar”)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– zaznaczona kolorem czerwonym.</w:t>
      </w:r>
    </w:p>
    <w:p w14:paraId="49F5D699" w14:textId="1E47F0BF" w:rsidR="00AF6A91" w:rsidRPr="00C1702A" w:rsidRDefault="00AF6A91" w:rsidP="009A078F">
      <w:pPr>
        <w:pStyle w:val="Akapitzlist"/>
        <w:numPr>
          <w:ilvl w:val="0"/>
          <w:numId w:val="1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Zabytkowe sekcje okrętu podwodnego („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Uboot</w:t>
      </w:r>
      <w:proofErr w:type="spellEnd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”), zaznaczone kolorem niebieskim.</w:t>
      </w:r>
    </w:p>
    <w:p w14:paraId="773693A8" w14:textId="0A1E508E" w:rsidR="00AF6A91" w:rsidRPr="00C1702A" w:rsidRDefault="00AF6A91" w:rsidP="009A078F">
      <w:pPr>
        <w:pStyle w:val="Akapitzlist"/>
        <w:numPr>
          <w:ilvl w:val="0"/>
          <w:numId w:val="1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Teren dla małej gastronomii („Ogródek”), </w:t>
      </w:r>
      <w:r w:rsidR="00C0198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– zaznaczony kolorem zielonym.</w:t>
      </w:r>
    </w:p>
    <w:p w14:paraId="03CB7957" w14:textId="017A8D4B" w:rsidR="002F467B" w:rsidRPr="00C1702A" w:rsidRDefault="006317FA" w:rsidP="009A078F">
      <w:pPr>
        <w:pStyle w:val="Akapitzlist"/>
        <w:numPr>
          <w:ilvl w:val="0"/>
          <w:numId w:val="1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Przestrzeń pod wystawy plenerowe („Plener”)</w:t>
      </w:r>
      <w:r w:rsidR="00EA038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strefę relaksu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 – zaznaczona kolorem żółtym.</w:t>
      </w:r>
    </w:p>
    <w:p w14:paraId="2FFAA1E6" w14:textId="2C6D6ACE" w:rsidR="00C0198C" w:rsidRPr="00C1702A" w:rsidRDefault="00C0198C" w:rsidP="009A078F">
      <w:pPr>
        <w:pStyle w:val="Akapitzlist"/>
        <w:numPr>
          <w:ilvl w:val="0"/>
          <w:numId w:val="1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Trakt komunikacyjny łączący muzeum w hangarze z muzeum w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koszarowcu</w:t>
      </w:r>
      <w:proofErr w:type="spellEnd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napoleońskim („Chodnik”), – zaznaczony kolorem </w:t>
      </w:r>
      <w:r w:rsidR="00E5401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ciemno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żółtym</w:t>
      </w:r>
    </w:p>
    <w:p w14:paraId="3D21BD3C" w14:textId="77777777" w:rsidR="00482AFD" w:rsidRPr="00C1702A" w:rsidRDefault="006317FA" w:rsidP="009A078F">
      <w:pPr>
        <w:keepNext/>
        <w:spacing w:after="40" w:line="260" w:lineRule="atLeast"/>
        <w:ind w:left="360" w:right="0"/>
        <w:jc w:val="center"/>
        <w:rPr>
          <w:rFonts w:ascii="Arial" w:hAnsi="Arial" w:cs="Arial"/>
          <w:sz w:val="20"/>
          <w:szCs w:val="20"/>
        </w:rPr>
      </w:pPr>
      <w:r w:rsidRPr="00C1702A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37AD19B9" wp14:editId="0343C0EA">
            <wp:extent cx="4676775" cy="244547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4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587FA" w14:textId="01B4922F" w:rsidR="006317FA" w:rsidRPr="00C1702A" w:rsidRDefault="00482AFD" w:rsidP="009A078F">
      <w:pPr>
        <w:pStyle w:val="Legenda"/>
        <w:spacing w:after="40" w:line="260" w:lineRule="atLeast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sz w:val="20"/>
          <w:szCs w:val="20"/>
        </w:rPr>
        <w:t xml:space="preserve">Rysunek </w:t>
      </w:r>
      <w:r w:rsidR="00173022" w:rsidRPr="00C1702A">
        <w:rPr>
          <w:rFonts w:ascii="Arial" w:hAnsi="Arial" w:cs="Arial"/>
          <w:sz w:val="20"/>
          <w:szCs w:val="20"/>
        </w:rPr>
        <w:fldChar w:fldCharType="begin"/>
      </w:r>
      <w:r w:rsidR="00173022" w:rsidRPr="00C1702A">
        <w:rPr>
          <w:rFonts w:ascii="Arial" w:hAnsi="Arial" w:cs="Arial"/>
          <w:sz w:val="20"/>
          <w:szCs w:val="20"/>
        </w:rPr>
        <w:instrText xml:space="preserve"> SEQ Rysunek \* ARABIC </w:instrText>
      </w:r>
      <w:r w:rsidR="00173022" w:rsidRPr="00C1702A">
        <w:rPr>
          <w:rFonts w:ascii="Arial" w:hAnsi="Arial" w:cs="Arial"/>
          <w:sz w:val="20"/>
          <w:szCs w:val="20"/>
        </w:rPr>
        <w:fldChar w:fldCharType="separate"/>
      </w:r>
      <w:r w:rsidR="00794C42">
        <w:rPr>
          <w:rFonts w:ascii="Arial" w:hAnsi="Arial" w:cs="Arial"/>
          <w:noProof/>
          <w:sz w:val="20"/>
          <w:szCs w:val="20"/>
        </w:rPr>
        <w:t>1</w:t>
      </w:r>
      <w:r w:rsidR="00173022" w:rsidRPr="00C1702A">
        <w:rPr>
          <w:rFonts w:ascii="Arial" w:hAnsi="Arial" w:cs="Arial"/>
          <w:noProof/>
          <w:sz w:val="20"/>
          <w:szCs w:val="20"/>
        </w:rPr>
        <w:fldChar w:fldCharType="end"/>
      </w:r>
    </w:p>
    <w:p w14:paraId="1C1E7237" w14:textId="77777777" w:rsidR="00C0198C" w:rsidRPr="00C1702A" w:rsidRDefault="00C0198C" w:rsidP="009A078F">
      <w:pPr>
        <w:spacing w:after="40" w:line="260" w:lineRule="atLeast"/>
        <w:ind w:left="360" w:right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106D23" w14:textId="77777777" w:rsidR="00B71C2A" w:rsidRPr="00C1702A" w:rsidRDefault="00B71C2A" w:rsidP="009A078F">
      <w:pPr>
        <w:pStyle w:val="Akapitzlist"/>
        <w:numPr>
          <w:ilvl w:val="0"/>
          <w:numId w:val="2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Muzeum</w:t>
      </w:r>
    </w:p>
    <w:p w14:paraId="2C37CAA8" w14:textId="77777777" w:rsidR="0014201C" w:rsidRPr="00C1702A" w:rsidRDefault="00B71C2A" w:rsidP="009A078F">
      <w:pPr>
        <w:spacing w:after="40" w:line="260" w:lineRule="atLeast"/>
        <w:ind w:right="0" w:firstLine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Hangar stanowić będzie główną część muzeum, łączącą zadania ekspozycji zbiorów, głównego punktu informacji dla turystów, kasy biletowej</w:t>
      </w:r>
      <w:r w:rsidR="003E0C7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zaplecza socjalnego dla pracowników. Jego łączna powierzchnia ponad 700. metrów kwadratowych oraz duża wysokość: 9 m w najwyższym miejscu – pozwala na eksponowanie nie tylko zbiorów archeologicznych, lecz również wielkogabarytowych obiektów np. dział, czy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pojazdów.</w:t>
      </w:r>
      <w:r w:rsidR="0014201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Rozwiązania</w:t>
      </w:r>
      <w:proofErr w:type="spellEnd"/>
      <w:r w:rsidR="0014201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zastosowane w remoncie i adaptacji </w:t>
      </w:r>
      <w:r w:rsidR="0048108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całego budynku </w:t>
      </w:r>
      <w:r w:rsidR="0014201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muszą uwzględniać:</w:t>
      </w:r>
    </w:p>
    <w:p w14:paraId="73665AEE" w14:textId="0629E39B" w:rsidR="0014201C" w:rsidRPr="00C1702A" w:rsidRDefault="00EA0388" w:rsidP="009A078F">
      <w:pPr>
        <w:pStyle w:val="Akapitzlist"/>
        <w:numPr>
          <w:ilvl w:val="0"/>
          <w:numId w:val="4"/>
        </w:numPr>
        <w:spacing w:after="40" w:line="260" w:lineRule="atLeast"/>
        <w:ind w:left="709"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i</w:t>
      </w:r>
      <w:r w:rsidR="0014201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lości zwiedzających</w:t>
      </w:r>
      <w:r w:rsidR="0003766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: 100 osób jednocześnie;</w:t>
      </w:r>
    </w:p>
    <w:p w14:paraId="38BB5CBD" w14:textId="27B93B03" w:rsidR="00803017" w:rsidRPr="00C1702A" w:rsidRDefault="00EA0388" w:rsidP="009A078F">
      <w:pPr>
        <w:pStyle w:val="Akapitzlist"/>
        <w:numPr>
          <w:ilvl w:val="0"/>
          <w:numId w:val="4"/>
        </w:numPr>
        <w:spacing w:after="40" w:line="260" w:lineRule="atLeast"/>
        <w:ind w:left="709"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</w:t>
      </w:r>
      <w:r w:rsidR="0080301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owierzchnia użytkowa 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- powyżej 700 m</w:t>
      </w:r>
      <w:r w:rsidRPr="00C1702A">
        <w:rPr>
          <w:rFonts w:ascii="Arial" w:hAnsi="Arial" w:cs="Arial"/>
          <w:color w:val="000000" w:themeColor="text1"/>
          <w:sz w:val="20"/>
          <w:szCs w:val="20"/>
          <w:vertAlign w:val="superscript"/>
          <w:lang w:eastAsia="pl-PL"/>
        </w:rPr>
        <w:t>2</w:t>
      </w:r>
      <w:r w:rsidR="0080301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06E1974E" w14:textId="64AD3D78" w:rsidR="0014201C" w:rsidRPr="00C1702A" w:rsidRDefault="00EA0388" w:rsidP="009A078F">
      <w:pPr>
        <w:pStyle w:val="Akapitzlist"/>
        <w:numPr>
          <w:ilvl w:val="0"/>
          <w:numId w:val="4"/>
        </w:numPr>
        <w:spacing w:after="40" w:line="260" w:lineRule="atLeast"/>
        <w:ind w:left="709"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</w:t>
      </w:r>
      <w:r w:rsidR="00772119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łatwienia dla osób niepełnosprawnych</w:t>
      </w:r>
      <w:r w:rsidR="0003766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17763A3E" w14:textId="5CB61D5E" w:rsidR="0014201C" w:rsidRPr="00C1702A" w:rsidRDefault="00EA0388" w:rsidP="009A078F">
      <w:pPr>
        <w:pStyle w:val="Akapitzlist"/>
        <w:numPr>
          <w:ilvl w:val="0"/>
          <w:numId w:val="4"/>
        </w:numPr>
        <w:spacing w:after="40" w:line="260" w:lineRule="atLeast"/>
        <w:ind w:left="709"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="0014056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ałoroczn</w:t>
      </w:r>
      <w:r w:rsidR="0014201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ą</w:t>
      </w:r>
      <w:r w:rsidR="0014056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działalnoś</w:t>
      </w:r>
      <w:r w:rsidR="0014201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ć obiektu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(obiekt ocieplony)</w:t>
      </w:r>
      <w:r w:rsidR="0003766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2DA52B20" w14:textId="55A1AAA8" w:rsidR="00772119" w:rsidRPr="00C1702A" w:rsidRDefault="00EA0388" w:rsidP="009A078F">
      <w:pPr>
        <w:pStyle w:val="Akapitzlist"/>
        <w:numPr>
          <w:ilvl w:val="0"/>
          <w:numId w:val="4"/>
        </w:numPr>
        <w:spacing w:after="40" w:line="260" w:lineRule="atLeast"/>
        <w:ind w:left="709"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b</w:t>
      </w:r>
      <w:r w:rsidR="0014201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bsadę</w:t>
      </w:r>
      <w:proofErr w:type="spellEnd"/>
      <w:r w:rsidR="0014056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8 pracowników muzeum: </w:t>
      </w:r>
      <w:r w:rsidR="00772119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2 kasjerki, 3 pracowników sali, 2 str</w:t>
      </w:r>
      <w:r w:rsidR="0014201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ażników, 1 pracownik techniczny</w:t>
      </w:r>
      <w:r w:rsidR="00C6448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347432DB" w14:textId="0CA2DE89" w:rsidR="00C64483" w:rsidRPr="00C1702A" w:rsidRDefault="00EA0388" w:rsidP="009A078F">
      <w:pPr>
        <w:pStyle w:val="Akapitzlist"/>
        <w:numPr>
          <w:ilvl w:val="0"/>
          <w:numId w:val="4"/>
        </w:numPr>
        <w:spacing w:after="40" w:line="260" w:lineRule="atLeast"/>
        <w:ind w:left="709"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m</w:t>
      </w:r>
      <w:r w:rsidR="00C6448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ożliwość niezależnej pracy części gastronomicznej od części muzealnej, w innych godzinach od godzin otwarcia muzeum, w tym odrębne sanitariaty</w:t>
      </w:r>
      <w:r w:rsidR="00F57360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zaplecze techniczne.</w:t>
      </w:r>
    </w:p>
    <w:p w14:paraId="7F54F52A" w14:textId="77777777" w:rsidR="00EA0388" w:rsidRPr="00C1702A" w:rsidRDefault="002B00C3" w:rsidP="009A078F">
      <w:pPr>
        <w:spacing w:after="40" w:line="260" w:lineRule="atLeast"/>
        <w:ind w:right="0" w:firstLine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Wobec powyższych założeń, </w:t>
      </w:r>
      <w:r w:rsidR="00F611FA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hangar podzielono na pomniejsze </w:t>
      </w:r>
      <w:r w:rsidR="00C6448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strefy</w:t>
      </w:r>
      <w:r w:rsidR="00F611FA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pełniące odrębną rolę</w:t>
      </w:r>
      <w:r w:rsidR="00C6448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(przedstawiono na ilustracji poniżej)</w:t>
      </w:r>
      <w:r w:rsidR="00F611FA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. W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yszczególniono</w:t>
      </w:r>
      <w:r w:rsidR="00C6448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strefy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:</w:t>
      </w:r>
    </w:p>
    <w:p w14:paraId="7C80BB67" w14:textId="77777777" w:rsidR="00BD5DFE" w:rsidRPr="00C1702A" w:rsidRDefault="00EA0388" w:rsidP="009A078F">
      <w:pPr>
        <w:pStyle w:val="Akapitzlist"/>
        <w:numPr>
          <w:ilvl w:val="0"/>
          <w:numId w:val="13"/>
        </w:numPr>
        <w:spacing w:after="40" w:line="260" w:lineRule="atLeast"/>
        <w:ind w:left="709"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 - o</w:t>
      </w:r>
      <w:r w:rsidR="002B00C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bsługa klienta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 sanitariaty</w:t>
      </w:r>
      <w:r w:rsidR="00BD5DF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28ECDAF6" w14:textId="3108C60D" w:rsidR="00BD5DFE" w:rsidRPr="00C1702A" w:rsidRDefault="00BD5DFE" w:rsidP="009A078F">
      <w:pPr>
        <w:pStyle w:val="Akapitzlist"/>
        <w:numPr>
          <w:ilvl w:val="0"/>
          <w:numId w:val="13"/>
        </w:numPr>
        <w:spacing w:after="40" w:line="260" w:lineRule="atLeast"/>
        <w:ind w:left="709"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B – działalność muzealna</w:t>
      </w:r>
      <w:r w:rsidR="00E96AA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/ wystawa główna;</w:t>
      </w:r>
    </w:p>
    <w:p w14:paraId="68CFD94B" w14:textId="7F8AF3A0" w:rsidR="00772119" w:rsidRPr="00C1702A" w:rsidRDefault="00BD5DFE" w:rsidP="009A078F">
      <w:pPr>
        <w:pStyle w:val="Akapitzlist"/>
        <w:numPr>
          <w:ilvl w:val="0"/>
          <w:numId w:val="13"/>
        </w:numPr>
        <w:spacing w:after="40" w:line="260" w:lineRule="atLeast"/>
        <w:ind w:left="709"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C – przestrzeń gastronomiczna, techniczna, socjalna</w:t>
      </w:r>
      <w:r w:rsidR="002B00C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08CFF501" w14:textId="77777777" w:rsidR="00772119" w:rsidRPr="00C1702A" w:rsidRDefault="00507262" w:rsidP="009A078F">
      <w:pPr>
        <w:spacing w:after="40" w:line="260" w:lineRule="atLeast"/>
        <w:ind w:right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lastRenderedPageBreak/>
        <w:drawing>
          <wp:inline distT="0" distB="0" distL="0" distR="0" wp14:anchorId="285D61A3" wp14:editId="3E7C9FDA">
            <wp:extent cx="4924951" cy="332905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951" cy="332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6EA47" w14:textId="77777777" w:rsidR="00FF665C" w:rsidRPr="00C1702A" w:rsidRDefault="00FF665C" w:rsidP="009A078F">
      <w:pPr>
        <w:spacing w:after="40" w:line="260" w:lineRule="atLeast"/>
        <w:ind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17866124" w14:textId="6D1A6B6F" w:rsidR="00A30130" w:rsidRPr="00C1702A" w:rsidRDefault="00C1702A" w:rsidP="009A078F">
      <w:pPr>
        <w:pStyle w:val="Akapitzlist"/>
        <w:numPr>
          <w:ilvl w:val="0"/>
          <w:numId w:val="9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Strefa </w:t>
      </w:r>
      <w:r w:rsidR="007F4929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A</w:t>
      </w:r>
      <w:r w:rsidR="007F4929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”</w:t>
      </w:r>
    </w:p>
    <w:p w14:paraId="19495029" w14:textId="77777777" w:rsidR="00EF4EBE" w:rsidRPr="00C1702A" w:rsidRDefault="00AF5F69" w:rsidP="009A078F">
      <w:pPr>
        <w:spacing w:after="40" w:line="260" w:lineRule="atLeast"/>
        <w:ind w:right="0" w:firstLine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Strefa Obsługi klienta </w:t>
      </w:r>
      <w:r w:rsidR="007506C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jest pierwszym punktem do którego powinien trafić zwiedzający Twierdzę </w:t>
      </w:r>
      <w:proofErr w:type="spellStart"/>
      <w:r w:rsidR="007506C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Wisłoujście</w:t>
      </w:r>
      <w:proofErr w:type="spellEnd"/>
      <w:r w:rsidR="007506C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. Sprzedawany będzie tu bilet zwiedzania obiektu,</w:t>
      </w:r>
      <w:r w:rsidR="0003766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mapka zwiedzania,</w:t>
      </w:r>
      <w:r w:rsidR="007506C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pamiątki i publikacje muzeum. Pomieszczenie jest zarazem głównym punktem informacji o trasie zwiedzania Twierdzy wraz z jej wszystkimi budynkami. </w:t>
      </w:r>
    </w:p>
    <w:p w14:paraId="2C950392" w14:textId="77777777" w:rsidR="00EF4EBE" w:rsidRPr="00C1702A" w:rsidRDefault="001378F1" w:rsidP="009A078F">
      <w:pPr>
        <w:spacing w:after="40" w:line="260" w:lineRule="atLeast"/>
        <w:ind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Specyfikacja</w:t>
      </w:r>
      <w:r w:rsidR="007506C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: </w:t>
      </w:r>
    </w:p>
    <w:p w14:paraId="5E0648C6" w14:textId="48893C8B" w:rsidR="009A6641" w:rsidRPr="00C1702A" w:rsidRDefault="009A6641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Miejsce pracy dwóch kasjer</w:t>
      </w:r>
      <w:r w:rsidR="00437FE6">
        <w:rPr>
          <w:rFonts w:ascii="Arial" w:hAnsi="Arial" w:cs="Arial"/>
          <w:color w:val="000000" w:themeColor="text1"/>
          <w:sz w:val="20"/>
          <w:szCs w:val="20"/>
          <w:lang w:eastAsia="pl-PL"/>
        </w:rPr>
        <w:t>ów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jednego </w:t>
      </w:r>
      <w:r w:rsidR="00437FE6">
        <w:rPr>
          <w:rFonts w:ascii="Arial" w:hAnsi="Arial" w:cs="Arial"/>
          <w:color w:val="000000" w:themeColor="text1"/>
          <w:sz w:val="20"/>
          <w:szCs w:val="20"/>
          <w:lang w:eastAsia="pl-PL"/>
        </w:rPr>
        <w:t>pracownika ochrony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3222B710" w14:textId="77777777" w:rsidR="00EF4EBE" w:rsidRPr="00C1702A" w:rsidRDefault="00EF4EBE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L</w:t>
      </w:r>
      <w:r w:rsidR="007506C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ad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</w:t>
      </w:r>
      <w:r w:rsidR="007506C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kasy z drugim stanowiskiem sprzedaży pamiątek. 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Powinna zwierać przestrzeń na podłączenie dwóch urządzeń fiskalnych, monitorów, komputerów z klawiaturą;</w:t>
      </w:r>
    </w:p>
    <w:p w14:paraId="78D5A033" w14:textId="77777777" w:rsidR="0003766B" w:rsidRPr="00C1702A" w:rsidRDefault="0003766B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Regały i/lub ekspozytory na asortyment produktów Muzeum Gdańska;</w:t>
      </w:r>
    </w:p>
    <w:p w14:paraId="366FB7FE" w14:textId="01806C89" w:rsidR="0003766B" w:rsidRPr="00C1702A" w:rsidRDefault="0003766B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Lodówka</w:t>
      </w:r>
      <w:r w:rsidR="00437FE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0303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do</w:t>
      </w:r>
      <w:r w:rsidR="007D2F8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sprzedaży napojów schłodzonych i wody;</w:t>
      </w:r>
    </w:p>
    <w:p w14:paraId="76F261AA" w14:textId="53E4899F" w:rsidR="00EF4EBE" w:rsidRPr="00C1702A" w:rsidRDefault="00EF4EBE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Szatnia</w:t>
      </w:r>
      <w:r w:rsidR="00437FE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D2F8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do</w:t>
      </w:r>
      <w:r w:rsidR="007506C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pozostawienia płaszcza/okrycie wierzchniego</w:t>
      </w:r>
      <w:r w:rsidR="00254E66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przed zwiedzaniem hali hangaru;</w:t>
      </w:r>
    </w:p>
    <w:p w14:paraId="4B99A128" w14:textId="77777777" w:rsidR="00FA57E3" w:rsidRPr="00C1702A" w:rsidRDefault="00FA57E3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Ułatwienia dla osób niepełnosprawnych;</w:t>
      </w:r>
    </w:p>
    <w:p w14:paraId="5FC852AC" w14:textId="77777777" w:rsidR="00EF4EBE" w:rsidRPr="00C1702A" w:rsidRDefault="007506CE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Wejście</w:t>
      </w:r>
      <w:r w:rsidR="00EF4EB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budynku o ruchu dwukierunkowym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od strony ul. Stara Twierdza, z wykorzystaniem lub przebudową istniejącego </w:t>
      </w:r>
      <w:r w:rsidR="003408C9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wejścia. W przyszłej roli pomieszczenia ważne jest uwzględnienie komunikowania zwiedzającemu, że jest to miejsce od którego powinien rozpocząć zwiedzanie (oznakowanie, zastosowanie</w:t>
      </w:r>
      <w:r w:rsidR="009D5720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drzwi z dużym przeszkleniem?);</w:t>
      </w:r>
    </w:p>
    <w:p w14:paraId="231873D7" w14:textId="01617BC1" w:rsidR="00EF4EBE" w:rsidRPr="00C1702A" w:rsidRDefault="00EF4EBE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Wejście</w:t>
      </w:r>
      <w:r w:rsidR="00DA6F2D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</w:t>
      </w:r>
      <w:r w:rsidR="009D5720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Wystawy Głównej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(</w:t>
      </w:r>
      <w:r w:rsidR="009D5720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na rys. 2</w:t>
      </w:r>
      <w:r w:rsidR="0048108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 strefa „</w:t>
      </w:r>
      <w:r w:rsidR="00437FE6">
        <w:rPr>
          <w:rFonts w:ascii="Arial" w:hAnsi="Arial" w:cs="Arial"/>
          <w:color w:val="000000" w:themeColor="text1"/>
          <w:sz w:val="20"/>
          <w:szCs w:val="20"/>
          <w:lang w:eastAsia="pl-PL"/>
        </w:rPr>
        <w:t>B</w:t>
      </w:r>
      <w:r w:rsidR="0048108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”)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. Jest możliwe zastosowanie pojedynczego wejścia o ruchu dwukierunkowym lub dwa wejścia o ruchu jednokierunkowym: do </w:t>
      </w:r>
      <w:r w:rsidR="0048108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strefy „</w:t>
      </w:r>
      <w:r w:rsidR="00437FE6">
        <w:rPr>
          <w:rFonts w:ascii="Arial" w:hAnsi="Arial" w:cs="Arial"/>
          <w:color w:val="000000" w:themeColor="text1"/>
          <w:sz w:val="20"/>
          <w:szCs w:val="20"/>
          <w:lang w:eastAsia="pl-PL"/>
        </w:rPr>
        <w:t>B</w:t>
      </w:r>
      <w:r w:rsidR="0048108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”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powrót do strefy </w:t>
      </w:r>
      <w:r w:rsidR="0048108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„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</w:t>
      </w:r>
      <w:r w:rsidR="0048108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”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. Wejście lub wejścia mogą być</w:t>
      </w:r>
      <w:r w:rsidR="000D1DC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roz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lokowane na całej długości ściany </w:t>
      </w:r>
      <w:r w:rsidR="000D1DC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północnej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wg p</w:t>
      </w:r>
      <w:r w:rsidR="00002A61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omysłu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wykonawcy, na rys. 2 oznaczono sugerowaną lokalizację</w:t>
      </w:r>
      <w:r w:rsidR="009D5720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7C20D365" w14:textId="77887BCC" w:rsidR="009D5720" w:rsidRDefault="009D5720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Wejście do plenerowej ekspozycji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Uboota</w:t>
      </w:r>
      <w:proofErr w:type="spellEnd"/>
      <w:r w:rsidR="00437FE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(na rys. 1 oznaczone nr 2). Jest możliwe zastosowanie pojedynczego wejścia o ruchu dwukierunkowym lub dwa wejścia o ruchu jednokierunkowym: do ekspozycji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Uboot</w:t>
      </w:r>
      <w:proofErr w:type="spellEnd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powrót do strefy A. Wejście lub wejścia mogą być</w:t>
      </w:r>
      <w:r w:rsidR="00D65AF1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roz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lokowane na całej długości ściany południowej wg planu wykonawcy, na rys. 2 oznaczono sugerowaną lokalizację;</w:t>
      </w:r>
    </w:p>
    <w:p w14:paraId="4A02263A" w14:textId="14807179" w:rsidR="00437FE6" w:rsidRPr="00C1702A" w:rsidRDefault="00437FE6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Wejścia do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stefy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„B” i U-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boota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muszą być wyposażone w bramki z czytnikami;</w:t>
      </w:r>
    </w:p>
    <w:p w14:paraId="125AD729" w14:textId="146AEC3F" w:rsidR="00481084" w:rsidRPr="00C1702A" w:rsidRDefault="00DB4F40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Doświetlenie pomieszczenia światłem dziennym, lokalizacja, wymiary okien i ilość wg </w:t>
      </w:r>
      <w:r w:rsidR="00002A61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pomysłu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437FE6">
        <w:rPr>
          <w:rFonts w:ascii="Arial" w:hAnsi="Arial" w:cs="Arial"/>
          <w:color w:val="000000" w:themeColor="text1"/>
          <w:sz w:val="20"/>
          <w:szCs w:val="20"/>
          <w:lang w:eastAsia="pl-PL"/>
        </w:rPr>
        <w:t>projektanta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 na rys. 2 oznaczono sugerowane lokalizacj</w:t>
      </w:r>
      <w:r w:rsidR="002F216D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e;</w:t>
      </w:r>
    </w:p>
    <w:p w14:paraId="41FCF0F9" w14:textId="77777777" w:rsidR="002F216D" w:rsidRPr="00C1702A" w:rsidRDefault="002F216D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Przyłącz</w:t>
      </w:r>
      <w:r w:rsidR="00DF772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</w:t>
      </w:r>
      <w:r w:rsidR="0008312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standardowe</w:t>
      </w:r>
      <w:proofErr w:type="spellEnd"/>
      <w:r w:rsidR="0008312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220V/1,5A dla urządzeń kasowych, oświetlenia, i innych pomagających w pracy przy stanowisku sprzedaży;</w:t>
      </w:r>
    </w:p>
    <w:p w14:paraId="1FB55953" w14:textId="64F5D6FF" w:rsidR="002F216D" w:rsidRPr="00C1702A" w:rsidRDefault="002F216D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Przyłącza</w:t>
      </w:r>
      <w:r w:rsidR="00437FE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8312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internet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</w:t>
      </w:r>
      <w:proofErr w:type="spellEnd"/>
      <w:r w:rsidR="0008312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na stałym łączu, ewentualnie wifi – niezbędne do pracy urządzeń kasowych;</w:t>
      </w:r>
    </w:p>
    <w:p w14:paraId="0B3088F7" w14:textId="7F87AA8F" w:rsidR="00DC772A" w:rsidRPr="00C1702A" w:rsidRDefault="002F216D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Przyłącza</w:t>
      </w:r>
      <w:r w:rsidR="00437FE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urządzeń</w:t>
      </w:r>
      <w:r w:rsidR="00437FE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8312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monitoring</w:t>
      </w:r>
      <w:r w:rsidR="004E04C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antywłamaniowego</w:t>
      </w:r>
      <w:r w:rsidR="00DC772A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</w:t>
      </w:r>
      <w:r w:rsidR="0008312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urządze</w:t>
      </w:r>
      <w:r w:rsidR="00DC772A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ń </w:t>
      </w:r>
      <w:r w:rsidR="0032671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przeciwwłamaniow</w:t>
      </w:r>
      <w:r w:rsidR="00DC772A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ych;</w:t>
      </w:r>
    </w:p>
    <w:p w14:paraId="60032DF7" w14:textId="77777777" w:rsidR="00DC772A" w:rsidRPr="00C1702A" w:rsidRDefault="00DC772A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Przyłącza klimatyzacji</w:t>
      </w:r>
      <w:r w:rsidR="0008312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lub inn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ych</w:t>
      </w:r>
      <w:r w:rsidR="0008312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urządze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ń</w:t>
      </w:r>
      <w:r w:rsidR="0008312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regulacji temperatury (ze względu na pracę całoroczną</w:t>
      </w:r>
      <w:r w:rsidR="004E04C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obiektu</w:t>
      </w:r>
      <w:r w:rsidR="00083128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);</w:t>
      </w:r>
    </w:p>
    <w:p w14:paraId="75074C72" w14:textId="77777777" w:rsidR="00DF0E66" w:rsidRPr="00C1702A" w:rsidRDefault="00DC772A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Przyłącza ogrzewania gazowego</w:t>
      </w:r>
      <w:r w:rsidR="00D774A1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340CAAF3" w14:textId="77777777" w:rsidR="00F57439" w:rsidRPr="00C1702A" w:rsidRDefault="00DF0E66" w:rsidP="009A078F">
      <w:pPr>
        <w:pStyle w:val="Akapitzlist"/>
        <w:numPr>
          <w:ilvl w:val="0"/>
          <w:numId w:val="3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Przyłącza urządzeń </w:t>
      </w:r>
      <w:proofErr w:type="spellStart"/>
      <w:r w:rsidR="00F57439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ppoż</w:t>
      </w:r>
      <w:proofErr w:type="spellEnd"/>
      <w:r w:rsidR="00F57439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odpowiedni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ch</w:t>
      </w:r>
      <w:r w:rsidR="00F57439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</w:t>
      </w:r>
      <w:r w:rsidR="000339C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o funkcji i urządzeń w</w:t>
      </w:r>
      <w:r w:rsidR="00F57439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pomieszczeni</w:t>
      </w:r>
      <w:r w:rsidR="000339C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</w:t>
      </w:r>
      <w:r w:rsidR="00741BA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496F156C" w14:textId="77777777" w:rsidR="00703C8C" w:rsidRPr="00C1702A" w:rsidRDefault="00703C8C" w:rsidP="009A078F">
      <w:pPr>
        <w:spacing w:after="40" w:line="260" w:lineRule="atLeast"/>
        <w:ind w:right="0" w:firstLine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Sanitariaty powinny uwzględniać pracę obiektu przy zwielokrotnione</w:t>
      </w:r>
      <w:r w:rsidR="006278AF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j frekwencji (duże wydarzenia), 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podział na</w:t>
      </w:r>
      <w:r w:rsidR="006278AF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dwie odrębne toalety (dla muzeum i gastronomii),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toalety damskie i męskie, toaleta dla osób z niepełnosprawnościami. </w:t>
      </w:r>
    </w:p>
    <w:p w14:paraId="4595A341" w14:textId="77777777" w:rsidR="00E27B11" w:rsidRPr="00C1702A" w:rsidRDefault="006278AF" w:rsidP="009A078F">
      <w:pPr>
        <w:spacing w:after="40" w:line="260" w:lineRule="atLeast"/>
        <w:ind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Specyfikacja</w:t>
      </w:r>
      <w:r w:rsidR="00E27B11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:</w:t>
      </w:r>
    </w:p>
    <w:p w14:paraId="070C78BF" w14:textId="5DC57B50" w:rsidR="00E27B11" w:rsidRPr="00C1702A" w:rsidRDefault="00E66C05" w:rsidP="009A078F">
      <w:pPr>
        <w:pStyle w:val="Akapitzlist"/>
        <w:numPr>
          <w:ilvl w:val="0"/>
          <w:numId w:val="5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="00E27B11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anitariaty, sedesy, pisuary, umywalki w ilości odpowiedniej dla dużego obiektu muzealnego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 toaleta dla osób z niepełnosprawnością, przewijak dla niemowląt</w:t>
      </w:r>
      <w:r w:rsidR="00E42C33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lustra, elektryczne suszarki do rąk;</w:t>
      </w:r>
    </w:p>
    <w:p w14:paraId="0480E386" w14:textId="77777777" w:rsidR="00E66C05" w:rsidRPr="00C1702A" w:rsidRDefault="00E66C05" w:rsidP="009A078F">
      <w:pPr>
        <w:pStyle w:val="Akapitzlist"/>
        <w:numPr>
          <w:ilvl w:val="0"/>
          <w:numId w:val="5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Sanitariaty, sedesy, pisuary, umywalki w ilości odpowiedniej dla </w:t>
      </w:r>
      <w:r w:rsidR="0075728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punktu gastronomicznego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 toaleta dla osób z niepełnosprawnością, przewijak dla niemowląt</w:t>
      </w:r>
      <w:r w:rsidR="005A2500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(B2)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5FA53EA1" w14:textId="77777777" w:rsidR="0097691A" w:rsidRPr="00C1702A" w:rsidRDefault="0097691A" w:rsidP="009A078F">
      <w:pPr>
        <w:pStyle w:val="Akapitzlist"/>
        <w:numPr>
          <w:ilvl w:val="0"/>
          <w:numId w:val="5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Doświetlenie pomieszczenia światłem dziennym,</w:t>
      </w:r>
      <w:r w:rsidR="0045526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uwzględnić należy brak możliwości wejrzenia do pomieszczeń z zewnątrz (szkło mleczne?),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lokalizacja, wymiary okien i ilość wg pomysłu wykonawcy, na rys. 2 oznaczono sugerowane lokalizacje</w:t>
      </w:r>
      <w:r w:rsidR="008F308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(B1,B2)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252FE889" w14:textId="4A5F8F85" w:rsidR="001034C3" w:rsidRDefault="00E42C33" w:rsidP="009A078F">
      <w:pPr>
        <w:pStyle w:val="Akapitzlist"/>
        <w:numPr>
          <w:ilvl w:val="0"/>
          <w:numId w:val="5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Wyposażenie we wszystkie niezbędne przyłącza.</w:t>
      </w:r>
    </w:p>
    <w:p w14:paraId="4F11BAA1" w14:textId="77777777" w:rsidR="009D6283" w:rsidRPr="009D6283" w:rsidRDefault="009D6283" w:rsidP="009A078F">
      <w:pPr>
        <w:spacing w:after="40" w:line="260" w:lineRule="atLeast"/>
        <w:ind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39F8A184" w14:textId="6E3BEC1D" w:rsidR="00F934BA" w:rsidRPr="00C1702A" w:rsidRDefault="007F4929" w:rsidP="009A078F">
      <w:pPr>
        <w:pStyle w:val="Akapitzlist"/>
        <w:numPr>
          <w:ilvl w:val="0"/>
          <w:numId w:val="9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Strefa „B”</w:t>
      </w:r>
    </w:p>
    <w:p w14:paraId="12592550" w14:textId="77777777" w:rsidR="00470D3B" w:rsidRPr="00C1702A" w:rsidRDefault="00DD0FE4" w:rsidP="009A078F">
      <w:pPr>
        <w:spacing w:after="40" w:line="260" w:lineRule="atLeast"/>
        <w:ind w:right="0" w:firstLine="7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 sali wystawy głównej na ekspozycji prezentowane będą wybrane, ważniejsze, wydarzenia historii Twierdzy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Wisłoujście</w:t>
      </w:r>
      <w:proofErr w:type="spellEnd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. Planowane jest eksponowanie zabytków archeologicznych, zarówno tekstylnych, skórzanych, drewnianych i metalowych. Uzupełnieniem tej narracji będą makiety lub dioramy fortyfikacji w dużej skali oraz modele okrętów. W projekcie Sali należy uwzględnić rozstawienie gablot wystawienniczych, </w:t>
      </w:r>
      <w:r w:rsidR="0002206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także</w:t>
      </w:r>
      <w:r w:rsidR="005A217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tych o</w:t>
      </w:r>
      <w:r w:rsidR="0002206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większych rozmiar</w:t>
      </w:r>
      <w:r w:rsidR="005A217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ach</w:t>
      </w:r>
      <w:r w:rsidR="0002206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(1 sztuka – ok. </w:t>
      </w:r>
      <w:r w:rsidR="009C1F35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4</w:t>
      </w:r>
      <w:r w:rsidR="0002206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m długości x</w:t>
      </w:r>
      <w:r w:rsidR="009C1F35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4</w:t>
      </w:r>
      <w:r w:rsidR="0002206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 szerokości - diorama Twierdzy </w:t>
      </w:r>
      <w:proofErr w:type="spellStart"/>
      <w:r w:rsidR="0002206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Wisłoujście</w:t>
      </w:r>
      <w:proofErr w:type="spellEnd"/>
      <w:r w:rsidR="0002206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) oraz ekranów multimedialnych.</w:t>
      </w:r>
    </w:p>
    <w:p w14:paraId="00F9382C" w14:textId="77777777" w:rsidR="00433D09" w:rsidRPr="00C1702A" w:rsidRDefault="00433D09" w:rsidP="009A078F">
      <w:pPr>
        <w:spacing w:after="40" w:line="260" w:lineRule="atLeast"/>
        <w:ind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Specyfikacja:</w:t>
      </w:r>
    </w:p>
    <w:p w14:paraId="73EC95BF" w14:textId="45AAF0B2" w:rsidR="00433D09" w:rsidRPr="00C1702A" w:rsidRDefault="00E96AAA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Ok. 500</w:t>
      </w:r>
      <w:r w:rsidR="001A514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</w:t>
      </w:r>
      <w:r w:rsidR="001A514E" w:rsidRPr="00E96AAA">
        <w:rPr>
          <w:rFonts w:ascii="Arial" w:hAnsi="Arial" w:cs="Arial"/>
          <w:color w:val="000000" w:themeColor="text1"/>
          <w:sz w:val="20"/>
          <w:szCs w:val="20"/>
          <w:vertAlign w:val="superscript"/>
          <w:lang w:eastAsia="pl-PL"/>
        </w:rPr>
        <w:t>2</w:t>
      </w:r>
      <w:r w:rsidR="001A514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powierzchni użytkowej;</w:t>
      </w:r>
    </w:p>
    <w:p w14:paraId="5639AF35" w14:textId="631839D4" w:rsidR="001A514E" w:rsidRPr="00C1702A" w:rsidRDefault="001A514E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Miejsce pracy dwóch pracowników obsługi sali i jednego </w:t>
      </w:r>
      <w:r w:rsidR="00E96AAA">
        <w:rPr>
          <w:rFonts w:ascii="Arial" w:hAnsi="Arial" w:cs="Arial"/>
          <w:color w:val="000000" w:themeColor="text1"/>
          <w:sz w:val="20"/>
          <w:szCs w:val="20"/>
          <w:lang w:eastAsia="pl-PL"/>
        </w:rPr>
        <w:t>pracownika ochrony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7E035C24" w14:textId="77777777" w:rsidR="001A514E" w:rsidRPr="00C1702A" w:rsidRDefault="00FA57E3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Przestrzeń umożliwiająca podłączenie minimum 10 gablot ekspozycyjnych o większych wymiarach tj. od 1,5x2x2m do 5x5x1m;</w:t>
      </w:r>
    </w:p>
    <w:p w14:paraId="61F2D3C0" w14:textId="77777777" w:rsidR="00D065DC" w:rsidRPr="00C1702A" w:rsidRDefault="00D065DC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Ułatwienia dla osób niepełnosprawnych;</w:t>
      </w:r>
    </w:p>
    <w:p w14:paraId="3BB26490" w14:textId="336F5C2C" w:rsidR="00D065DC" w:rsidRPr="00C1702A" w:rsidRDefault="00D065DC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Wejście do Obsługi klienta</w:t>
      </w:r>
      <w:r w:rsidR="00E96AA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(na rys. 2, strefa „A”). Jest możliwe zastosowanie pojedynczego wejścia o ruchu dwukierunkowym lub dwa wejścia o ruchu jednokierunkowym: do strefy „A” i osobny na powrót. Wejście lub wejścia mogą być rozlokowane na całej długości ściany południowej wg pomysłu wykonawcy, na rys. 2 oznaczono sugerowaną lokalizację;</w:t>
      </w:r>
    </w:p>
    <w:p w14:paraId="45C8ACCC" w14:textId="39924373" w:rsidR="00D065DC" w:rsidRPr="00C1702A" w:rsidRDefault="00D86B36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Wejście do </w:t>
      </w:r>
      <w:r w:rsidR="00215C2F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przestrzeni małej gastronomii 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(na rys. 2, strefa „</w:t>
      </w:r>
      <w:r w:rsidR="00E96AAA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”). Jest </w:t>
      </w:r>
      <w:r w:rsidR="00215C2F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wymagane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zastosowanie </w:t>
      </w:r>
      <w:r w:rsidR="00215C2F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przejścia o 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ruchu jednokierunkowym: do strefy „</w:t>
      </w:r>
      <w:r w:rsidR="00E96AAA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” </w:t>
      </w:r>
      <w:r w:rsidR="00215C2F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bez możliwości </w:t>
      </w:r>
      <w:proofErr w:type="spellStart"/>
      <w:r w:rsidR="00215C2F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powrotu.Przejściemoże</w:t>
      </w:r>
      <w:proofErr w:type="spellEnd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być rozlokowane na całej długości ściany </w:t>
      </w:r>
      <w:r w:rsidR="00215C2F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północnej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wg pomysłu wykonawcy, na rys. 2 oznaczono sugerowaną lokalizację</w:t>
      </w:r>
      <w:r w:rsidR="00215C2F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3E99E8B3" w14:textId="77777777" w:rsidR="00642C23" w:rsidRPr="00C1702A" w:rsidRDefault="00642C23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Zabezpieczenie i wkomponowanie w podłogę istniejących szyn dla wózków jachtowych (na rys. 2 znacznik „a)”)</w:t>
      </w:r>
      <w:r w:rsidR="00720F66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3180E5A8" w14:textId="77777777" w:rsidR="00720F66" w:rsidRPr="00C1702A" w:rsidRDefault="00720F66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Wymiana bramy rozsuwanej i zachowanie istniejącego otworu wjazdowego do hangaru jako bramy technicznej (na rys. 2 znacznik „b)”). Nowa brama powinna mieć możliwość otwierania automatycznego oraz konstrukcję umożliwiającą zachowanie stałych temperatur i wilgotności w hali;</w:t>
      </w:r>
    </w:p>
    <w:p w14:paraId="38F73493" w14:textId="30183B6A" w:rsidR="00720F66" w:rsidRPr="00C1702A" w:rsidRDefault="00B65413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Przyłącza standardowe dla oświetlenia, i urządzeń multimedialnych w listwie podsufitowej, Ilość miejsc podłączeń w podłodze powinno być nie mniejsza niż 30 sztuk w regularnej rozstawie 4m od siebie. Każde miejsce podłączenia powinno zawierać po 4 gniazdka;</w:t>
      </w:r>
    </w:p>
    <w:p w14:paraId="7EA8BD5F" w14:textId="2FFD9B10" w:rsidR="00B65413" w:rsidRPr="00C1702A" w:rsidRDefault="00B65413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Przyłącza standardowe dla gablot ekspozycyjnych i innych urządzeń wystawy w podłodze. Ilość miejsc podłączeń w podłodze powinno być nie mniejsza niż 30 sztuk w regularnej rozstawie 4m od siebie. Każde miejsce podłączenia powinno zawierać po 4 gniazdka;</w:t>
      </w:r>
    </w:p>
    <w:p w14:paraId="2A75DAC7" w14:textId="77777777" w:rsidR="00D3033E" w:rsidRPr="00C1702A" w:rsidRDefault="00D22948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Przyłącza</w:t>
      </w:r>
      <w:r w:rsidR="00D3033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podłączeń </w:t>
      </w:r>
      <w:proofErr w:type="spellStart"/>
      <w:r w:rsidR="00D3033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internetu</w:t>
      </w:r>
      <w:proofErr w:type="spellEnd"/>
      <w:r w:rsidR="00D3033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na stałym łączu – pod ekrany mu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ltimedialne, minimum 15 sztuk;</w:t>
      </w:r>
    </w:p>
    <w:p w14:paraId="0656C21D" w14:textId="77777777" w:rsidR="003C13D0" w:rsidRPr="00C1702A" w:rsidRDefault="003C13D0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Całkowite ograniczenie dostępu światła dziennego – ze względu na specyfikę prezentowanych zabytków</w:t>
      </w:r>
      <w:r w:rsidR="00670A71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5E9ED379" w14:textId="069B08CB" w:rsidR="00330AE9" w:rsidRDefault="007F4929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bookmarkStart w:id="0" w:name="_Hlk93575830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Obiekt ogrzewany, wentylowany, klimatyzowany.</w:t>
      </w:r>
    </w:p>
    <w:p w14:paraId="04AD16F6" w14:textId="32455D65" w:rsidR="007F4929" w:rsidRPr="00C1702A" w:rsidRDefault="007F4929" w:rsidP="009A078F">
      <w:pPr>
        <w:pStyle w:val="Akapitzlist"/>
        <w:numPr>
          <w:ilvl w:val="0"/>
          <w:numId w:val="7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Wyposażenie we wszystkie niezbędne systemy sygnalizacji pożaru i zabezpieczenia antywłamaniowego wraz z monitoringiem.</w:t>
      </w:r>
    </w:p>
    <w:bookmarkEnd w:id="0"/>
    <w:p w14:paraId="0E239FCD" w14:textId="77777777" w:rsidR="007F7E52" w:rsidRPr="00C1702A" w:rsidRDefault="007F7E52" w:rsidP="009A078F">
      <w:pPr>
        <w:spacing w:after="40" w:line="260" w:lineRule="atLeast"/>
        <w:ind w:left="360"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0EE3C510" w14:textId="01749F57" w:rsidR="00E42C33" w:rsidRDefault="007F4929" w:rsidP="009A078F">
      <w:pPr>
        <w:pStyle w:val="Akapitzlist"/>
        <w:numPr>
          <w:ilvl w:val="0"/>
          <w:numId w:val="9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Strefa „C”</w:t>
      </w:r>
    </w:p>
    <w:p w14:paraId="76336F6B" w14:textId="39B13E4C" w:rsidR="003318E3" w:rsidRPr="00C1702A" w:rsidRDefault="00760796" w:rsidP="009A078F">
      <w:pPr>
        <w:spacing w:after="40" w:line="260" w:lineRule="atLeast"/>
        <w:ind w:right="0" w:firstLine="7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Przestrzeń </w:t>
      </w:r>
      <w:r w:rsidR="007F4929">
        <w:rPr>
          <w:rFonts w:ascii="Arial" w:hAnsi="Arial" w:cs="Arial"/>
          <w:color w:val="000000" w:themeColor="text1"/>
          <w:sz w:val="20"/>
          <w:szCs w:val="20"/>
          <w:lang w:eastAsia="pl-PL"/>
        </w:rPr>
        <w:t>gastronomiczna jest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przeznaczona dla ajenta na prowadzenie działalności gastronomicznej. Powinna oferować możliwość odpoczynku, skorzystania z oferty napojów ciepłych i deserów. Mile widziane jest prowadzenie ciepłych posiłków ze względu na dużą odległość Twierdzy od punktów oferujących takie usługi.</w:t>
      </w:r>
      <w:r w:rsidR="00A87FA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Uzupełnieniem przestrzeni jest ogródek dla gastronomii omawiany w dalszej części dokumentu.</w:t>
      </w:r>
    </w:p>
    <w:p w14:paraId="2E46417A" w14:textId="77777777" w:rsidR="00A87FA2" w:rsidRPr="00C1702A" w:rsidRDefault="006142E6" w:rsidP="009A078F">
      <w:pPr>
        <w:spacing w:after="40" w:line="260" w:lineRule="atLeast"/>
        <w:ind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Specyfikacja:</w:t>
      </w:r>
    </w:p>
    <w:p w14:paraId="584AA47C" w14:textId="74E34C6F" w:rsidR="006142E6" w:rsidRPr="00C1702A" w:rsidRDefault="007F4929" w:rsidP="009A078F">
      <w:pPr>
        <w:pStyle w:val="Akapitzlist"/>
        <w:numPr>
          <w:ilvl w:val="0"/>
          <w:numId w:val="8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Sala konsumpcyjna, część kuchenna i </w:t>
      </w:r>
      <w:r w:rsidR="009D6283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zaplecze </w:t>
      </w:r>
      <w:r w:rsidR="00CF7C9D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punktu gastronomicznego;</w:t>
      </w:r>
    </w:p>
    <w:p w14:paraId="2FB5FA5A" w14:textId="20EF0418" w:rsidR="00AF445C" w:rsidRPr="00C1702A" w:rsidRDefault="00AF445C" w:rsidP="009A078F">
      <w:pPr>
        <w:pStyle w:val="Akapitzlist"/>
        <w:numPr>
          <w:ilvl w:val="0"/>
          <w:numId w:val="8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Ułatwienia dla osób niepełnosprawnych</w:t>
      </w:r>
      <w:r w:rsidR="009D6283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735218A6" w14:textId="005A9F2B" w:rsidR="00AF445C" w:rsidRPr="00C1702A" w:rsidRDefault="00AF445C" w:rsidP="009A078F">
      <w:pPr>
        <w:pStyle w:val="Akapitzlist"/>
        <w:numPr>
          <w:ilvl w:val="0"/>
          <w:numId w:val="8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Wejście do budynku o ruchu dwukierunkowym od strony ul. Stara Twierdza, z przebudową istniejącego wejścia. </w:t>
      </w:r>
      <w:r w:rsidR="009107E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Przejście może być rozlokowane na całej długości ściany zachodniej wg pomysłu wykonawcy, na rys. 2 oznaczono sugerowaną lokalizacj</w:t>
      </w:r>
      <w:r w:rsidR="00E03D08">
        <w:rPr>
          <w:rFonts w:ascii="Arial" w:hAnsi="Arial" w:cs="Arial"/>
          <w:color w:val="000000" w:themeColor="text1"/>
          <w:sz w:val="20"/>
          <w:szCs w:val="20"/>
          <w:lang w:eastAsia="pl-PL"/>
        </w:rPr>
        <w:t>ę</w:t>
      </w:r>
      <w:r w:rsidR="009107E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2F887CDC" w14:textId="49AB5C7F" w:rsidR="00AF445C" w:rsidRPr="00C1702A" w:rsidRDefault="00AF445C" w:rsidP="009A078F">
      <w:pPr>
        <w:pStyle w:val="Akapitzlist"/>
        <w:numPr>
          <w:ilvl w:val="0"/>
          <w:numId w:val="8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Wejście do przestrzeni małej gastronomii </w:t>
      </w:r>
      <w:r w:rsidR="0037435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z Sali Wystawy Głównej.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Jest wymagane zastosowanie przejścia o ruchu jednokierunkowym: do strefy „</w:t>
      </w:r>
      <w:r w:rsidR="00E03D08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” bez możliwości powrotu</w:t>
      </w:r>
      <w:r w:rsidR="0037435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strefy „</w:t>
      </w:r>
      <w:r w:rsidR="00E03D08">
        <w:rPr>
          <w:rFonts w:ascii="Arial" w:hAnsi="Arial" w:cs="Arial"/>
          <w:color w:val="000000" w:themeColor="text1"/>
          <w:sz w:val="20"/>
          <w:szCs w:val="20"/>
          <w:lang w:eastAsia="pl-PL"/>
        </w:rPr>
        <w:t>B</w:t>
      </w:r>
      <w:r w:rsidR="0037435E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”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. Przejście może być rozlokowane na całej długości ściany północnej wg pomysłu wykonawcy, na rys. 2 oznaczono sugerowaną lokalizację;</w:t>
      </w:r>
    </w:p>
    <w:p w14:paraId="222AD4C6" w14:textId="218B0E3E" w:rsidR="00AF445C" w:rsidRPr="00C1702A" w:rsidRDefault="00AF445C" w:rsidP="009A078F">
      <w:pPr>
        <w:pStyle w:val="Akapitzlist"/>
        <w:numPr>
          <w:ilvl w:val="0"/>
          <w:numId w:val="8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Wejście do budynku o ruchu dwukierunkowym od strony </w:t>
      </w:r>
      <w:proofErr w:type="spellStart"/>
      <w:r w:rsidR="00814F6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północnej.Wejście</w:t>
      </w:r>
      <w:proofErr w:type="spellEnd"/>
      <w:r w:rsidR="00814F6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skierowane jest na stronę ogródka dla gastronomii;</w:t>
      </w:r>
    </w:p>
    <w:p w14:paraId="60316307" w14:textId="2A153EC9" w:rsidR="000F6086" w:rsidRDefault="000F5364" w:rsidP="009A078F">
      <w:pPr>
        <w:pStyle w:val="Akapitzlist"/>
        <w:numPr>
          <w:ilvl w:val="0"/>
          <w:numId w:val="8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Liczniki prąd, gaz, wod</w:t>
      </w:r>
      <w:r w:rsidR="00E03D08">
        <w:rPr>
          <w:rFonts w:ascii="Arial" w:hAnsi="Arial" w:cs="Arial"/>
          <w:color w:val="000000" w:themeColor="text1"/>
          <w:sz w:val="20"/>
          <w:szCs w:val="20"/>
          <w:lang w:eastAsia="pl-PL"/>
        </w:rPr>
        <w:t>ę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dla </w:t>
      </w:r>
      <w:r w:rsidR="009D6283">
        <w:rPr>
          <w:rFonts w:ascii="Arial" w:hAnsi="Arial" w:cs="Arial"/>
          <w:color w:val="000000" w:themeColor="text1"/>
          <w:sz w:val="20"/>
          <w:szCs w:val="20"/>
          <w:lang w:eastAsia="pl-PL"/>
        </w:rPr>
        <w:t>części gastronomicznej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097F6EB3" w14:textId="77777777" w:rsidR="00E03D08" w:rsidRDefault="00E03D08" w:rsidP="009A078F">
      <w:pPr>
        <w:pStyle w:val="Akapitzlist"/>
        <w:numPr>
          <w:ilvl w:val="0"/>
          <w:numId w:val="8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Obiekt ogrzewany, wentylowany, klimatyzowany.</w:t>
      </w:r>
    </w:p>
    <w:p w14:paraId="7E92B08B" w14:textId="40D84E12" w:rsidR="00E03D08" w:rsidRPr="00E03D08" w:rsidRDefault="00E03D08" w:rsidP="009A078F">
      <w:pPr>
        <w:pStyle w:val="Akapitzlist"/>
        <w:numPr>
          <w:ilvl w:val="0"/>
          <w:numId w:val="8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Wyposażenie we wszystkie niezbędne systemy sygnalizacji pożaru i zabezpieczenia antywłamaniowego wraz z monitoringiem.</w:t>
      </w:r>
    </w:p>
    <w:p w14:paraId="518A0395" w14:textId="77777777" w:rsidR="009D6283" w:rsidRDefault="009D6283" w:rsidP="009A078F">
      <w:pPr>
        <w:spacing w:after="40" w:line="260" w:lineRule="atLeast"/>
        <w:ind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478119C2" w14:textId="1D5C1A14" w:rsidR="002158FC" w:rsidRPr="009A078F" w:rsidRDefault="00B53477" w:rsidP="009A078F">
      <w:pPr>
        <w:spacing w:after="40" w:line="260" w:lineRule="atLeast"/>
        <w:ind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  <w:t xml:space="preserve">Przestrzeń techniczna przeznaczona jest na wszystkie niezbędne urządzenia </w:t>
      </w:r>
      <w:r w:rsidR="00D0693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techniczne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budynku</w:t>
      </w:r>
      <w:r w:rsidR="00D0693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np. związanych z dostawą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prąd</w:t>
      </w:r>
      <w:r w:rsidR="00D0693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 wod</w:t>
      </w:r>
      <w:r w:rsidR="00D0693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y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 gaz</w:t>
      </w:r>
      <w:r w:rsidR="00D06934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 lub w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entylacją. Przestrzeń może być rozdzielona wg pomysłu wykonawcy.</w:t>
      </w:r>
    </w:p>
    <w:p w14:paraId="3EC60DC1" w14:textId="38DDB0F4" w:rsidR="00DC3A6C" w:rsidRPr="00C1702A" w:rsidRDefault="009A4CE2" w:rsidP="009A078F">
      <w:pPr>
        <w:spacing w:after="40" w:line="260" w:lineRule="atLeast"/>
        <w:ind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  <w:t xml:space="preserve">Pomieszczenia </w:t>
      </w:r>
      <w:r w:rsidR="00AB325E">
        <w:rPr>
          <w:rFonts w:ascii="Arial" w:hAnsi="Arial" w:cs="Arial"/>
          <w:color w:val="000000" w:themeColor="text1"/>
          <w:sz w:val="20"/>
          <w:szCs w:val="20"/>
          <w:lang w:eastAsia="pl-PL"/>
        </w:rPr>
        <w:t>socjalne i techniczne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pracowników </w:t>
      </w:r>
      <w:r w:rsidR="00AB325E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mają pełnić 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pełnią przede wszystkim rolę </w:t>
      </w:r>
      <w:r w:rsidR="009A078F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socjalną i 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magazynową: na środki czystości i urządzenia do sprzątania np. odkurzacze,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forterki</w:t>
      </w:r>
      <w:proofErr w:type="spellEnd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zaplecze sklepu i kasy</w:t>
      </w:r>
      <w:r w:rsidR="002B7A66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0A13F2CF" w14:textId="77777777" w:rsidR="00C031F2" w:rsidRPr="00C1702A" w:rsidRDefault="00C031F2" w:rsidP="009A078F">
      <w:pPr>
        <w:spacing w:after="40" w:line="260" w:lineRule="atLeast"/>
        <w:ind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3A56A825" w14:textId="77777777" w:rsidR="0012028D" w:rsidRPr="00C1702A" w:rsidRDefault="00093CCC" w:rsidP="009A078F">
      <w:pPr>
        <w:pStyle w:val="Akapitzlist"/>
        <w:numPr>
          <w:ilvl w:val="0"/>
          <w:numId w:val="2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Zabytkowe sekcje okrętu podwodnego „</w:t>
      </w:r>
      <w:proofErr w:type="spellStart"/>
      <w:r w:rsidRPr="00C1702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Uboot</w:t>
      </w:r>
      <w:proofErr w:type="spellEnd"/>
      <w:r w:rsidRPr="00C1702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”</w:t>
      </w:r>
    </w:p>
    <w:p w14:paraId="297D6F15" w14:textId="77777777" w:rsidR="00DD0FE4" w:rsidRPr="00C1702A" w:rsidRDefault="0012028D" w:rsidP="009A078F">
      <w:pPr>
        <w:spacing w:after="40" w:line="260" w:lineRule="atLeast"/>
        <w:ind w:right="0" w:firstLine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Docelowo,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zwiedzaniezabytkowych</w:t>
      </w:r>
      <w:proofErr w:type="spellEnd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sekcji okrętu podwodnego ma odbywać się po zakupieniu biletu w kasie Muzeum i nie mogą być dostępne z pominięciem tej drogi. We wnętrzu sekcji prezentowana będzie wystawa poświęcona budowie okrętów podwodnych w Gdańsku.</w:t>
      </w:r>
    </w:p>
    <w:p w14:paraId="4C1B31B9" w14:textId="77777777" w:rsidR="0012028D" w:rsidRPr="00C1702A" w:rsidRDefault="0012028D" w:rsidP="009A078F">
      <w:pPr>
        <w:spacing w:after="40" w:line="260" w:lineRule="atLeast"/>
        <w:ind w:right="0" w:firstLine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Specyfikacja:</w:t>
      </w:r>
    </w:p>
    <w:p w14:paraId="648022DF" w14:textId="77777777" w:rsidR="00A21345" w:rsidRPr="00C1702A" w:rsidRDefault="000B4A1E" w:rsidP="009A078F">
      <w:pPr>
        <w:pStyle w:val="Akapitzlist"/>
        <w:numPr>
          <w:ilvl w:val="0"/>
          <w:numId w:val="10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 xml:space="preserve">Zastosowanie utwardzenia nawierzchni umożliwiającej dostęp do ramp i kładek od wejścia z przestrzeni </w:t>
      </w:r>
      <w:r w:rsidR="00256DA2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„A”;</w:t>
      </w:r>
    </w:p>
    <w:p w14:paraId="22C6AF56" w14:textId="77777777" w:rsidR="00A21345" w:rsidRPr="00C1702A" w:rsidRDefault="00DC62D7" w:rsidP="009A078F">
      <w:pPr>
        <w:pStyle w:val="Akapitzlist"/>
        <w:numPr>
          <w:ilvl w:val="0"/>
          <w:numId w:val="10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Rampy i kładki wewnątrz sekcji okrętu podwodnego mogą być przebudowane wg pomysłu wykonawcy;</w:t>
      </w:r>
    </w:p>
    <w:p w14:paraId="3B41466B" w14:textId="77777777" w:rsidR="00DC62D7" w:rsidRPr="00C1702A" w:rsidRDefault="00B70473" w:rsidP="009A078F">
      <w:pPr>
        <w:pStyle w:val="Akapitzlist"/>
        <w:numPr>
          <w:ilvl w:val="0"/>
          <w:numId w:val="10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</w:t>
      </w:r>
      <w:r w:rsidR="00DC62D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łatwienia dla osób niepełnosprawnych;</w:t>
      </w:r>
    </w:p>
    <w:p w14:paraId="523737FC" w14:textId="77777777" w:rsidR="00A21345" w:rsidRPr="00C1702A" w:rsidRDefault="00A21345" w:rsidP="009A078F">
      <w:pPr>
        <w:pStyle w:val="Akapitzlist"/>
        <w:numPr>
          <w:ilvl w:val="0"/>
          <w:numId w:val="10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Podłączenie kranu zewnętrznego ułatwiającego utrzymanie sekcji w czystości</w:t>
      </w:r>
      <w:r w:rsidR="00103A87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do podłączenia wody w dostawianym kontenerze sanitarnym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2B6B9278" w14:textId="3274EE18" w:rsidR="00A21345" w:rsidRPr="00C1702A" w:rsidRDefault="00A21345" w:rsidP="009A078F">
      <w:pPr>
        <w:pStyle w:val="Akapitzlist"/>
        <w:numPr>
          <w:ilvl w:val="0"/>
          <w:numId w:val="10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Dostawienie skrzynki elektrycznej</w:t>
      </w:r>
      <w:r w:rsidR="00B70473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, wyłącznie na użytek muzeum, zabezpieczone zamkiem lub kłódką</w:t>
      </w:r>
      <w:r w:rsidR="00C3083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– pod podłączanie dodatkowych reflektorów podczas wydarzeń Muzeum lub kontenera sanitarnego;</w:t>
      </w:r>
    </w:p>
    <w:p w14:paraId="58DEC9DA" w14:textId="77777777" w:rsidR="005967A2" w:rsidRPr="00C1702A" w:rsidRDefault="005967A2" w:rsidP="009A078F">
      <w:pPr>
        <w:pStyle w:val="Akapitzlist"/>
        <w:numPr>
          <w:ilvl w:val="0"/>
          <w:numId w:val="10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Ogrodzenie przestrzeni płotem z bramą rewizyjną na wielkość samochodu ciężarowego;</w:t>
      </w:r>
    </w:p>
    <w:p w14:paraId="75F29C3D" w14:textId="77777777" w:rsidR="005967A2" w:rsidRPr="00C1702A" w:rsidRDefault="001A708F" w:rsidP="009A078F">
      <w:pPr>
        <w:pStyle w:val="Akapitzlist"/>
        <w:numPr>
          <w:ilvl w:val="0"/>
          <w:numId w:val="10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Oświetlenie plenerowe sekcji okrętu;</w:t>
      </w:r>
    </w:p>
    <w:p w14:paraId="7760CD83" w14:textId="77777777" w:rsidR="001A708F" w:rsidRPr="00C1702A" w:rsidRDefault="00065715" w:rsidP="009A078F">
      <w:pPr>
        <w:pStyle w:val="Akapitzlist"/>
        <w:numPr>
          <w:ilvl w:val="0"/>
          <w:numId w:val="10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Urządzenia monitoringu i urządzeń przeciwwłamaniowych</w:t>
      </w:r>
      <w:r w:rsidR="005B7406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57B91672" w14:textId="77777777" w:rsidR="005B7406" w:rsidRPr="00C1702A" w:rsidRDefault="005B7406" w:rsidP="009A078F">
      <w:pPr>
        <w:spacing w:after="40" w:line="260" w:lineRule="atLeast"/>
        <w:ind w:right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14:paraId="729EF6FE" w14:textId="77777777" w:rsidR="005B7406" w:rsidRPr="00C1702A" w:rsidRDefault="005B7406" w:rsidP="009A078F">
      <w:pPr>
        <w:pStyle w:val="Akapitzlist"/>
        <w:numPr>
          <w:ilvl w:val="0"/>
          <w:numId w:val="2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Teren rekreacyjny dla małej </w:t>
      </w:r>
      <w:proofErr w:type="spellStart"/>
      <w:r w:rsidRPr="00C1702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gastronomii„Ogródek</w:t>
      </w:r>
      <w:proofErr w:type="spellEnd"/>
      <w:r w:rsidRPr="00C1702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” </w:t>
      </w:r>
    </w:p>
    <w:p w14:paraId="57765779" w14:textId="77777777" w:rsidR="005B7406" w:rsidRPr="00C1702A" w:rsidRDefault="0040383E" w:rsidP="009A078F">
      <w:pPr>
        <w:spacing w:after="40" w:line="260" w:lineRule="atLeast"/>
        <w:ind w:right="0" w:firstLine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Przestrzeń przeznaczona dla ajenta pod prowadzenie małej gastronomii, ogródek ma pełnić rolę plenerowej części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kawiarnii</w:t>
      </w:r>
      <w:proofErr w:type="spellEnd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lub restauracji wraz z krzesłami i stolikami.</w:t>
      </w:r>
    </w:p>
    <w:p w14:paraId="720697B1" w14:textId="77777777" w:rsidR="00DC47D0" w:rsidRPr="00C1702A" w:rsidRDefault="00DC47D0" w:rsidP="009A078F">
      <w:pPr>
        <w:spacing w:after="40" w:line="260" w:lineRule="atLeast"/>
        <w:ind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Specyfikacja:</w:t>
      </w:r>
    </w:p>
    <w:p w14:paraId="63D685E2" w14:textId="65869C5E" w:rsidR="005A4316" w:rsidRPr="00C1702A" w:rsidRDefault="005A4316" w:rsidP="009A078F">
      <w:pPr>
        <w:pStyle w:val="Akapitzlist"/>
        <w:numPr>
          <w:ilvl w:val="0"/>
          <w:numId w:val="11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Utwardzenie nawierzchni umożliwiające dostęp do ogródka od wejścia z przestrzeni „</w:t>
      </w:r>
      <w:r w:rsidR="00AB325E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”;</w:t>
      </w:r>
    </w:p>
    <w:p w14:paraId="37DB0FC3" w14:textId="77777777" w:rsidR="005A4316" w:rsidRPr="00C1702A" w:rsidRDefault="00B70473" w:rsidP="009A078F">
      <w:pPr>
        <w:pStyle w:val="Akapitzlist"/>
        <w:numPr>
          <w:ilvl w:val="0"/>
          <w:numId w:val="11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Ułatwienia dla osób niepełnosprawnych;</w:t>
      </w:r>
    </w:p>
    <w:p w14:paraId="69F88274" w14:textId="77777777" w:rsidR="00B70473" w:rsidRPr="00C1702A" w:rsidRDefault="00B70473" w:rsidP="009A078F">
      <w:pPr>
        <w:pStyle w:val="Akapitzlist"/>
        <w:numPr>
          <w:ilvl w:val="0"/>
          <w:numId w:val="11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Podłączenie kranu zewnętrznego ułatwiającego utrzymanie sekcji w czystości oraz do podłączenia wody w dostawianym kontenerze sanitarnym;</w:t>
      </w:r>
    </w:p>
    <w:p w14:paraId="7DB19B71" w14:textId="7829B4A3" w:rsidR="00B70473" w:rsidRPr="00C1702A" w:rsidRDefault="00B70473" w:rsidP="009A078F">
      <w:pPr>
        <w:pStyle w:val="Akapitzlist"/>
        <w:numPr>
          <w:ilvl w:val="0"/>
          <w:numId w:val="11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Dostawienie skrzynki elektrycznej wyłącznie na użytek muzeum, zabezpieczone zamkiem lub kłódką – pod podłączanie dodatkowych reflektorów podczas wydarzeń Muzeum lub kontenera sanitarnego;</w:t>
      </w:r>
    </w:p>
    <w:p w14:paraId="21A52F32" w14:textId="77777777" w:rsidR="00B70473" w:rsidRPr="00C1702A" w:rsidRDefault="00B70473" w:rsidP="009A078F">
      <w:pPr>
        <w:pStyle w:val="Akapitzlist"/>
        <w:numPr>
          <w:ilvl w:val="0"/>
          <w:numId w:val="11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Ogrodzenie ozdobne z doświetleniem przestrzeni ogródka;</w:t>
      </w:r>
    </w:p>
    <w:p w14:paraId="59104F6E" w14:textId="7303C008" w:rsidR="002B5F6B" w:rsidRPr="00C1702A" w:rsidRDefault="002B5F6B" w:rsidP="009A078F">
      <w:pPr>
        <w:pStyle w:val="Akapitzlist"/>
        <w:numPr>
          <w:ilvl w:val="0"/>
          <w:numId w:val="11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Dostawienie skrzynki elektrycznej wyłącznie na użytek punktu gastronomicznego, zabezpieczone zamkiem lub kłódką – pod podłączanie dodatkowych urządzeń gastronomicznych na ogrodzie;</w:t>
      </w:r>
    </w:p>
    <w:p w14:paraId="61C406A0" w14:textId="77777777" w:rsidR="00B70473" w:rsidRPr="00C1702A" w:rsidRDefault="00B70473" w:rsidP="009A078F">
      <w:pPr>
        <w:spacing w:after="40" w:line="260" w:lineRule="atLeast"/>
        <w:ind w:right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14:paraId="383F15E5" w14:textId="45FEE46E" w:rsidR="00625713" w:rsidRDefault="00625713" w:rsidP="009A078F">
      <w:pPr>
        <w:pStyle w:val="Akapitzlist"/>
        <w:numPr>
          <w:ilvl w:val="0"/>
          <w:numId w:val="2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Przestrzeń pod wystawy plenerowe</w:t>
      </w:r>
    </w:p>
    <w:p w14:paraId="5E8E2D78" w14:textId="64EAC55E" w:rsidR="00DD0318" w:rsidRPr="00DD0318" w:rsidRDefault="00DD0318" w:rsidP="009A078F">
      <w:pPr>
        <w:spacing w:after="40" w:line="260" w:lineRule="atLeast"/>
        <w:ind w:left="284" w:right="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Obszar do swobodnej aranżacji, powinien uwzględniać strefę relaksu dla różnych grup wiekowych.</w:t>
      </w:r>
    </w:p>
    <w:p w14:paraId="6737D000" w14:textId="77777777" w:rsidR="00625713" w:rsidRPr="00C1702A" w:rsidRDefault="00625713" w:rsidP="009A078F">
      <w:pPr>
        <w:pStyle w:val="Akapitzlist"/>
        <w:spacing w:after="40" w:line="260" w:lineRule="atLeast"/>
        <w:ind w:left="644"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14:paraId="633379B9" w14:textId="77777777" w:rsidR="00D4554A" w:rsidRPr="00C1702A" w:rsidRDefault="005E6191" w:rsidP="009A078F">
      <w:pPr>
        <w:pStyle w:val="Akapitzlist"/>
        <w:numPr>
          <w:ilvl w:val="0"/>
          <w:numId w:val="2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Trakt komunikacyjny łączący muzeum w hangarze z muzeum w </w:t>
      </w:r>
      <w:proofErr w:type="spellStart"/>
      <w:r w:rsidRPr="00C1702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koszarowcu</w:t>
      </w:r>
      <w:proofErr w:type="spellEnd"/>
      <w:r w:rsidRPr="00C1702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napoleońskim „Chodnik”.</w:t>
      </w:r>
    </w:p>
    <w:p w14:paraId="48D1935C" w14:textId="77777777" w:rsidR="005E6191" w:rsidRPr="00C1702A" w:rsidRDefault="005E6191" w:rsidP="009A078F">
      <w:pPr>
        <w:spacing w:after="40" w:line="260" w:lineRule="atLeast"/>
        <w:ind w:right="0" w:firstLine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Trakt komunikacyjny, jest chodnikiem o standardowych rozmiarach dla ruchu pieszych, powinien on łączyć wejścia do hangaru, gastronomii i na ogródek z </w:t>
      </w:r>
      <w:proofErr w:type="spellStart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koszarowcem</w:t>
      </w:r>
      <w:proofErr w:type="spellEnd"/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napoleońskim.</w:t>
      </w:r>
    </w:p>
    <w:p w14:paraId="7C45AFC8" w14:textId="48446846" w:rsidR="00145975" w:rsidRPr="00C1702A" w:rsidRDefault="0002504D" w:rsidP="009A078F">
      <w:pPr>
        <w:pStyle w:val="Akapitzlist"/>
        <w:numPr>
          <w:ilvl w:val="0"/>
          <w:numId w:val="12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</w:t>
      </w:r>
      <w:r w:rsidR="00BB0DDC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twardzenie nawierzchni chodnika na całej długości działki </w:t>
      </w:r>
      <w:r w:rsidR="00717E8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wzdłuż </w:t>
      </w: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</w:t>
      </w:r>
      <w:r w:rsidR="00717E8B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l. Stara Twierdza</w:t>
      </w:r>
      <w:r w:rsidR="00145975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;</w:t>
      </w:r>
    </w:p>
    <w:p w14:paraId="18759274" w14:textId="567CCF4E" w:rsidR="00145975" w:rsidRPr="00C1702A" w:rsidRDefault="00007636" w:rsidP="009A078F">
      <w:pPr>
        <w:pStyle w:val="Akapitzlist"/>
        <w:numPr>
          <w:ilvl w:val="0"/>
          <w:numId w:val="12"/>
        </w:numPr>
        <w:spacing w:after="40" w:line="260" w:lineRule="atLeast"/>
        <w:ind w:righ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u</w:t>
      </w:r>
      <w:r w:rsidR="00145975" w:rsidRPr="00C1702A">
        <w:rPr>
          <w:rFonts w:ascii="Arial" w:hAnsi="Arial" w:cs="Arial"/>
          <w:color w:val="000000" w:themeColor="text1"/>
          <w:sz w:val="20"/>
          <w:szCs w:val="20"/>
          <w:lang w:eastAsia="pl-PL"/>
        </w:rPr>
        <w:t>względnić ułatwienia dla osób niepełnosprawnych.</w:t>
      </w:r>
    </w:p>
    <w:p w14:paraId="71803D49" w14:textId="77777777" w:rsidR="00145975" w:rsidRPr="00C1702A" w:rsidRDefault="00145975" w:rsidP="009A078F">
      <w:pPr>
        <w:spacing w:after="40" w:line="260" w:lineRule="atLeast"/>
        <w:ind w:left="644" w:righ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sectPr w:rsidR="00145975" w:rsidRPr="00C1702A" w:rsidSect="00232C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6EE3" w14:textId="77777777" w:rsidR="005506A9" w:rsidRDefault="005506A9" w:rsidP="00D365F9">
      <w:pPr>
        <w:spacing w:after="0" w:line="240" w:lineRule="auto"/>
      </w:pPr>
      <w:r>
        <w:separator/>
      </w:r>
    </w:p>
  </w:endnote>
  <w:endnote w:type="continuationSeparator" w:id="0">
    <w:p w14:paraId="255B766F" w14:textId="77777777" w:rsidR="005506A9" w:rsidRDefault="005506A9" w:rsidP="00D3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6CDD" w14:textId="77777777" w:rsidR="00794C42" w:rsidRDefault="00794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0813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C254E07" w14:textId="77777777" w:rsidR="00DA0EC8" w:rsidRPr="00C1702A" w:rsidRDefault="000104A6" w:rsidP="00794C42">
        <w:pPr>
          <w:pStyle w:val="Stopka"/>
          <w:tabs>
            <w:tab w:val="clear" w:pos="4536"/>
            <w:tab w:val="clear" w:pos="9072"/>
          </w:tabs>
          <w:ind w:right="0"/>
          <w:jc w:val="center"/>
          <w:rPr>
            <w:rFonts w:ascii="Arial" w:hAnsi="Arial" w:cs="Arial"/>
            <w:sz w:val="16"/>
            <w:szCs w:val="16"/>
          </w:rPr>
        </w:pPr>
        <w:r w:rsidRPr="00C1702A">
          <w:rPr>
            <w:rFonts w:ascii="Arial" w:hAnsi="Arial" w:cs="Arial"/>
            <w:sz w:val="16"/>
            <w:szCs w:val="16"/>
          </w:rPr>
          <w:fldChar w:fldCharType="begin"/>
        </w:r>
        <w:r w:rsidR="00DA0EC8" w:rsidRPr="00C1702A">
          <w:rPr>
            <w:rFonts w:ascii="Arial" w:hAnsi="Arial" w:cs="Arial"/>
            <w:sz w:val="16"/>
            <w:szCs w:val="16"/>
          </w:rPr>
          <w:instrText>PAGE   \* MERGEFORMAT</w:instrText>
        </w:r>
        <w:r w:rsidRPr="00C1702A">
          <w:rPr>
            <w:rFonts w:ascii="Arial" w:hAnsi="Arial" w:cs="Arial"/>
            <w:sz w:val="16"/>
            <w:szCs w:val="16"/>
          </w:rPr>
          <w:fldChar w:fldCharType="separate"/>
        </w:r>
        <w:r w:rsidR="00625713" w:rsidRPr="00C1702A">
          <w:rPr>
            <w:rFonts w:ascii="Arial" w:hAnsi="Arial" w:cs="Arial"/>
            <w:noProof/>
            <w:sz w:val="16"/>
            <w:szCs w:val="16"/>
          </w:rPr>
          <w:t>12</w:t>
        </w:r>
        <w:r w:rsidRPr="00C1702A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6BEA" w14:textId="77777777" w:rsidR="00794C42" w:rsidRDefault="00794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B963" w14:textId="77777777" w:rsidR="005506A9" w:rsidRDefault="005506A9" w:rsidP="00D365F9">
      <w:pPr>
        <w:spacing w:after="0" w:line="240" w:lineRule="auto"/>
      </w:pPr>
      <w:r>
        <w:separator/>
      </w:r>
    </w:p>
  </w:footnote>
  <w:footnote w:type="continuationSeparator" w:id="0">
    <w:p w14:paraId="3B23105A" w14:textId="77777777" w:rsidR="005506A9" w:rsidRDefault="005506A9" w:rsidP="00D3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5EB8" w14:textId="77777777" w:rsidR="00794C42" w:rsidRDefault="00794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A28D" w14:textId="77777777" w:rsidR="00794C42" w:rsidRDefault="00794C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E2AB" w14:textId="77777777" w:rsidR="00794C42" w:rsidRDefault="00794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A1E"/>
    <w:multiLevelType w:val="hybridMultilevel"/>
    <w:tmpl w:val="9F0E5624"/>
    <w:lvl w:ilvl="0" w:tplc="37A63A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7D7"/>
    <w:multiLevelType w:val="hybridMultilevel"/>
    <w:tmpl w:val="03FAD936"/>
    <w:lvl w:ilvl="0" w:tplc="938C0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273C"/>
    <w:multiLevelType w:val="hybridMultilevel"/>
    <w:tmpl w:val="FD6CC37A"/>
    <w:lvl w:ilvl="0" w:tplc="B1F6A9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76FEE"/>
    <w:multiLevelType w:val="hybridMultilevel"/>
    <w:tmpl w:val="9C0A9D66"/>
    <w:lvl w:ilvl="0" w:tplc="938C0A1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BF7F5A"/>
    <w:multiLevelType w:val="hybridMultilevel"/>
    <w:tmpl w:val="E88497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DF05A5"/>
    <w:multiLevelType w:val="hybridMultilevel"/>
    <w:tmpl w:val="6390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0FC7"/>
    <w:multiLevelType w:val="hybridMultilevel"/>
    <w:tmpl w:val="CBB09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962F9"/>
    <w:multiLevelType w:val="hybridMultilevel"/>
    <w:tmpl w:val="7CF89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D4EA5"/>
    <w:multiLevelType w:val="hybridMultilevel"/>
    <w:tmpl w:val="BD5CFA8C"/>
    <w:lvl w:ilvl="0" w:tplc="938C0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F301E"/>
    <w:multiLevelType w:val="hybridMultilevel"/>
    <w:tmpl w:val="587E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4DF3"/>
    <w:multiLevelType w:val="hybridMultilevel"/>
    <w:tmpl w:val="7106900C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 w15:restartNumberingAfterBreak="0">
    <w:nsid w:val="7EE732C1"/>
    <w:multiLevelType w:val="hybridMultilevel"/>
    <w:tmpl w:val="CA06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C6B2A"/>
    <w:multiLevelType w:val="hybridMultilevel"/>
    <w:tmpl w:val="E7729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C6"/>
    <w:rsid w:val="00002A61"/>
    <w:rsid w:val="00004F4C"/>
    <w:rsid w:val="00007636"/>
    <w:rsid w:val="000104A6"/>
    <w:rsid w:val="0001145B"/>
    <w:rsid w:val="00016AFE"/>
    <w:rsid w:val="00021808"/>
    <w:rsid w:val="00022063"/>
    <w:rsid w:val="0002504D"/>
    <w:rsid w:val="00033209"/>
    <w:rsid w:val="000339C3"/>
    <w:rsid w:val="0003708C"/>
    <w:rsid w:val="0003766B"/>
    <w:rsid w:val="00043597"/>
    <w:rsid w:val="00045D3C"/>
    <w:rsid w:val="000535E9"/>
    <w:rsid w:val="000606F0"/>
    <w:rsid w:val="00060B4D"/>
    <w:rsid w:val="00062298"/>
    <w:rsid w:val="000631A2"/>
    <w:rsid w:val="00064432"/>
    <w:rsid w:val="00065715"/>
    <w:rsid w:val="00065AC9"/>
    <w:rsid w:val="00066EE2"/>
    <w:rsid w:val="0007060D"/>
    <w:rsid w:val="00070875"/>
    <w:rsid w:val="000748A7"/>
    <w:rsid w:val="0007586B"/>
    <w:rsid w:val="00076EEA"/>
    <w:rsid w:val="00083128"/>
    <w:rsid w:val="00090DCB"/>
    <w:rsid w:val="00093CCC"/>
    <w:rsid w:val="000948DC"/>
    <w:rsid w:val="000A2E41"/>
    <w:rsid w:val="000B4A1E"/>
    <w:rsid w:val="000C3EB3"/>
    <w:rsid w:val="000C68AA"/>
    <w:rsid w:val="000D1DC2"/>
    <w:rsid w:val="000D6C70"/>
    <w:rsid w:val="000D6F31"/>
    <w:rsid w:val="000E0E25"/>
    <w:rsid w:val="000F5364"/>
    <w:rsid w:val="000F6086"/>
    <w:rsid w:val="000F7A5C"/>
    <w:rsid w:val="001034C3"/>
    <w:rsid w:val="00103A87"/>
    <w:rsid w:val="00104E27"/>
    <w:rsid w:val="001124E0"/>
    <w:rsid w:val="0012028D"/>
    <w:rsid w:val="001243AB"/>
    <w:rsid w:val="00126867"/>
    <w:rsid w:val="001357F5"/>
    <w:rsid w:val="001378F1"/>
    <w:rsid w:val="00140568"/>
    <w:rsid w:val="00141A70"/>
    <w:rsid w:val="0014201C"/>
    <w:rsid w:val="0014245B"/>
    <w:rsid w:val="001431DF"/>
    <w:rsid w:val="0014528D"/>
    <w:rsid w:val="00145975"/>
    <w:rsid w:val="00155F4F"/>
    <w:rsid w:val="00156974"/>
    <w:rsid w:val="00157246"/>
    <w:rsid w:val="001653C3"/>
    <w:rsid w:val="00173022"/>
    <w:rsid w:val="001733B8"/>
    <w:rsid w:val="00180490"/>
    <w:rsid w:val="0018535A"/>
    <w:rsid w:val="0019206B"/>
    <w:rsid w:val="00193D91"/>
    <w:rsid w:val="001A1B3A"/>
    <w:rsid w:val="001A514E"/>
    <w:rsid w:val="001A708F"/>
    <w:rsid w:val="001C1C65"/>
    <w:rsid w:val="001D3C02"/>
    <w:rsid w:val="001D48D2"/>
    <w:rsid w:val="001F275C"/>
    <w:rsid w:val="001F59EC"/>
    <w:rsid w:val="00204925"/>
    <w:rsid w:val="00204CD0"/>
    <w:rsid w:val="00205B67"/>
    <w:rsid w:val="00206D95"/>
    <w:rsid w:val="002158FC"/>
    <w:rsid w:val="00215C2F"/>
    <w:rsid w:val="00223638"/>
    <w:rsid w:val="00230FD1"/>
    <w:rsid w:val="00232CB3"/>
    <w:rsid w:val="00253D59"/>
    <w:rsid w:val="00254E66"/>
    <w:rsid w:val="00255925"/>
    <w:rsid w:val="00255E56"/>
    <w:rsid w:val="00256084"/>
    <w:rsid w:val="002563D9"/>
    <w:rsid w:val="00256DA2"/>
    <w:rsid w:val="0025758B"/>
    <w:rsid w:val="00280F4B"/>
    <w:rsid w:val="00291C96"/>
    <w:rsid w:val="00296350"/>
    <w:rsid w:val="002A0286"/>
    <w:rsid w:val="002A2CED"/>
    <w:rsid w:val="002B00C3"/>
    <w:rsid w:val="002B2967"/>
    <w:rsid w:val="002B29AC"/>
    <w:rsid w:val="002B3073"/>
    <w:rsid w:val="002B5F6B"/>
    <w:rsid w:val="002B7A66"/>
    <w:rsid w:val="002C1368"/>
    <w:rsid w:val="002E3EBE"/>
    <w:rsid w:val="002E5FE9"/>
    <w:rsid w:val="002E6B39"/>
    <w:rsid w:val="002F0B11"/>
    <w:rsid w:val="002F216D"/>
    <w:rsid w:val="002F2FC2"/>
    <w:rsid w:val="002F467B"/>
    <w:rsid w:val="002F7AC1"/>
    <w:rsid w:val="00303373"/>
    <w:rsid w:val="003049F4"/>
    <w:rsid w:val="00306F6F"/>
    <w:rsid w:val="0032671E"/>
    <w:rsid w:val="00330278"/>
    <w:rsid w:val="00330AE9"/>
    <w:rsid w:val="003318E3"/>
    <w:rsid w:val="00333F0F"/>
    <w:rsid w:val="00337651"/>
    <w:rsid w:val="003408C9"/>
    <w:rsid w:val="00344411"/>
    <w:rsid w:val="00344B9D"/>
    <w:rsid w:val="00344C6F"/>
    <w:rsid w:val="003527EA"/>
    <w:rsid w:val="00357045"/>
    <w:rsid w:val="003644EF"/>
    <w:rsid w:val="003659CD"/>
    <w:rsid w:val="00367CE2"/>
    <w:rsid w:val="00373ACB"/>
    <w:rsid w:val="0037435E"/>
    <w:rsid w:val="003760A5"/>
    <w:rsid w:val="003907A2"/>
    <w:rsid w:val="00394E7D"/>
    <w:rsid w:val="003B22AB"/>
    <w:rsid w:val="003C13D0"/>
    <w:rsid w:val="003C2EC8"/>
    <w:rsid w:val="003D13DD"/>
    <w:rsid w:val="003D3B70"/>
    <w:rsid w:val="003D7289"/>
    <w:rsid w:val="003E0C74"/>
    <w:rsid w:val="003E658B"/>
    <w:rsid w:val="003F1EF9"/>
    <w:rsid w:val="00400A62"/>
    <w:rsid w:val="00400CC8"/>
    <w:rsid w:val="00401B64"/>
    <w:rsid w:val="004020F3"/>
    <w:rsid w:val="0040383E"/>
    <w:rsid w:val="00421972"/>
    <w:rsid w:val="00422067"/>
    <w:rsid w:val="004228B9"/>
    <w:rsid w:val="00426B43"/>
    <w:rsid w:val="004319A2"/>
    <w:rsid w:val="00433D09"/>
    <w:rsid w:val="00437FE6"/>
    <w:rsid w:val="00452367"/>
    <w:rsid w:val="00455263"/>
    <w:rsid w:val="00470D3B"/>
    <w:rsid w:val="00471ADF"/>
    <w:rsid w:val="0047225B"/>
    <w:rsid w:val="0047376F"/>
    <w:rsid w:val="004743D0"/>
    <w:rsid w:val="0047513B"/>
    <w:rsid w:val="00481084"/>
    <w:rsid w:val="00482AFD"/>
    <w:rsid w:val="004934A0"/>
    <w:rsid w:val="004943CC"/>
    <w:rsid w:val="004962F8"/>
    <w:rsid w:val="004A1BEF"/>
    <w:rsid w:val="004A263A"/>
    <w:rsid w:val="004A4E56"/>
    <w:rsid w:val="004B3574"/>
    <w:rsid w:val="004B604B"/>
    <w:rsid w:val="004C3244"/>
    <w:rsid w:val="004E04C2"/>
    <w:rsid w:val="004E6E42"/>
    <w:rsid w:val="00501AB9"/>
    <w:rsid w:val="00502A9A"/>
    <w:rsid w:val="005031D2"/>
    <w:rsid w:val="00504E1C"/>
    <w:rsid w:val="00507262"/>
    <w:rsid w:val="005313D2"/>
    <w:rsid w:val="00533EA9"/>
    <w:rsid w:val="0053763E"/>
    <w:rsid w:val="005419AF"/>
    <w:rsid w:val="00541CE1"/>
    <w:rsid w:val="00544207"/>
    <w:rsid w:val="005456BE"/>
    <w:rsid w:val="005506A9"/>
    <w:rsid w:val="00553D27"/>
    <w:rsid w:val="00564EB0"/>
    <w:rsid w:val="00574395"/>
    <w:rsid w:val="00584F25"/>
    <w:rsid w:val="005877BF"/>
    <w:rsid w:val="005967A2"/>
    <w:rsid w:val="005A0BC7"/>
    <w:rsid w:val="005A217E"/>
    <w:rsid w:val="005A2500"/>
    <w:rsid w:val="005A2611"/>
    <w:rsid w:val="005A3508"/>
    <w:rsid w:val="005A3CE5"/>
    <w:rsid w:val="005A4316"/>
    <w:rsid w:val="005B1142"/>
    <w:rsid w:val="005B136A"/>
    <w:rsid w:val="005B19BB"/>
    <w:rsid w:val="005B1CCA"/>
    <w:rsid w:val="005B6294"/>
    <w:rsid w:val="005B6356"/>
    <w:rsid w:val="005B6A14"/>
    <w:rsid w:val="005B7406"/>
    <w:rsid w:val="005C417D"/>
    <w:rsid w:val="005D0174"/>
    <w:rsid w:val="005E3693"/>
    <w:rsid w:val="005E4846"/>
    <w:rsid w:val="005E564B"/>
    <w:rsid w:val="005E6191"/>
    <w:rsid w:val="005E7962"/>
    <w:rsid w:val="00613385"/>
    <w:rsid w:val="00613836"/>
    <w:rsid w:val="006142E6"/>
    <w:rsid w:val="006235A0"/>
    <w:rsid w:val="00625713"/>
    <w:rsid w:val="006278AF"/>
    <w:rsid w:val="006317FA"/>
    <w:rsid w:val="006428BC"/>
    <w:rsid w:val="00642C23"/>
    <w:rsid w:val="006444EE"/>
    <w:rsid w:val="00644F81"/>
    <w:rsid w:val="00670A71"/>
    <w:rsid w:val="00681A80"/>
    <w:rsid w:val="0069737F"/>
    <w:rsid w:val="006A522C"/>
    <w:rsid w:val="006A67A6"/>
    <w:rsid w:val="006B1797"/>
    <w:rsid w:val="006C14F1"/>
    <w:rsid w:val="006D379D"/>
    <w:rsid w:val="006D5257"/>
    <w:rsid w:val="006D5BFD"/>
    <w:rsid w:val="006F415A"/>
    <w:rsid w:val="006F417F"/>
    <w:rsid w:val="007031A7"/>
    <w:rsid w:val="00703C8C"/>
    <w:rsid w:val="007134B4"/>
    <w:rsid w:val="00714F14"/>
    <w:rsid w:val="00717E8B"/>
    <w:rsid w:val="00720F66"/>
    <w:rsid w:val="0072323D"/>
    <w:rsid w:val="007275D2"/>
    <w:rsid w:val="0073322A"/>
    <w:rsid w:val="00741BA4"/>
    <w:rsid w:val="007478EB"/>
    <w:rsid w:val="007506CE"/>
    <w:rsid w:val="007524C3"/>
    <w:rsid w:val="00757284"/>
    <w:rsid w:val="00760796"/>
    <w:rsid w:val="00763E93"/>
    <w:rsid w:val="0076573F"/>
    <w:rsid w:val="00772119"/>
    <w:rsid w:val="007928B5"/>
    <w:rsid w:val="007930C9"/>
    <w:rsid w:val="00794C42"/>
    <w:rsid w:val="007A45C4"/>
    <w:rsid w:val="007A786D"/>
    <w:rsid w:val="007B0F53"/>
    <w:rsid w:val="007B36AE"/>
    <w:rsid w:val="007D158E"/>
    <w:rsid w:val="007D2F8B"/>
    <w:rsid w:val="007E4AB2"/>
    <w:rsid w:val="007E7CD7"/>
    <w:rsid w:val="007F3540"/>
    <w:rsid w:val="007F4929"/>
    <w:rsid w:val="007F7E52"/>
    <w:rsid w:val="00800DC1"/>
    <w:rsid w:val="00800E7D"/>
    <w:rsid w:val="00801891"/>
    <w:rsid w:val="00803017"/>
    <w:rsid w:val="00807FBD"/>
    <w:rsid w:val="00812C7D"/>
    <w:rsid w:val="00814F67"/>
    <w:rsid w:val="0081743A"/>
    <w:rsid w:val="00820582"/>
    <w:rsid w:val="008422FD"/>
    <w:rsid w:val="0084307B"/>
    <w:rsid w:val="008451E3"/>
    <w:rsid w:val="00874749"/>
    <w:rsid w:val="008807EA"/>
    <w:rsid w:val="008817F0"/>
    <w:rsid w:val="008824E1"/>
    <w:rsid w:val="00885890"/>
    <w:rsid w:val="00894154"/>
    <w:rsid w:val="008A1CBA"/>
    <w:rsid w:val="008A1FC6"/>
    <w:rsid w:val="008B4706"/>
    <w:rsid w:val="008B51BA"/>
    <w:rsid w:val="008B57FD"/>
    <w:rsid w:val="008B7B56"/>
    <w:rsid w:val="008C0C33"/>
    <w:rsid w:val="008D3499"/>
    <w:rsid w:val="008D6E5D"/>
    <w:rsid w:val="008E197D"/>
    <w:rsid w:val="008F3082"/>
    <w:rsid w:val="008F75FC"/>
    <w:rsid w:val="009107E2"/>
    <w:rsid w:val="00913E7D"/>
    <w:rsid w:val="0092089E"/>
    <w:rsid w:val="00922B0E"/>
    <w:rsid w:val="00924E5E"/>
    <w:rsid w:val="00927222"/>
    <w:rsid w:val="00931DFF"/>
    <w:rsid w:val="00942C55"/>
    <w:rsid w:val="00957BEC"/>
    <w:rsid w:val="00963096"/>
    <w:rsid w:val="00976818"/>
    <w:rsid w:val="0097691A"/>
    <w:rsid w:val="00976E5D"/>
    <w:rsid w:val="00996854"/>
    <w:rsid w:val="009A078F"/>
    <w:rsid w:val="009A2447"/>
    <w:rsid w:val="009A4CE2"/>
    <w:rsid w:val="009A6641"/>
    <w:rsid w:val="009B090C"/>
    <w:rsid w:val="009B3E42"/>
    <w:rsid w:val="009C1F35"/>
    <w:rsid w:val="009C2382"/>
    <w:rsid w:val="009C5DAA"/>
    <w:rsid w:val="009C7871"/>
    <w:rsid w:val="009D10A4"/>
    <w:rsid w:val="009D5720"/>
    <w:rsid w:val="009D6283"/>
    <w:rsid w:val="009E422C"/>
    <w:rsid w:val="009E5E8C"/>
    <w:rsid w:val="009F22C0"/>
    <w:rsid w:val="009F2D44"/>
    <w:rsid w:val="009F5D33"/>
    <w:rsid w:val="009F5D88"/>
    <w:rsid w:val="009F7C58"/>
    <w:rsid w:val="00A05FE9"/>
    <w:rsid w:val="00A071C7"/>
    <w:rsid w:val="00A12E5D"/>
    <w:rsid w:val="00A14A1B"/>
    <w:rsid w:val="00A1720E"/>
    <w:rsid w:val="00A21345"/>
    <w:rsid w:val="00A239B7"/>
    <w:rsid w:val="00A30130"/>
    <w:rsid w:val="00A42514"/>
    <w:rsid w:val="00A42BB6"/>
    <w:rsid w:val="00A42DD0"/>
    <w:rsid w:val="00A44B4C"/>
    <w:rsid w:val="00A47A52"/>
    <w:rsid w:val="00A547D6"/>
    <w:rsid w:val="00A65AAE"/>
    <w:rsid w:val="00A73569"/>
    <w:rsid w:val="00A81021"/>
    <w:rsid w:val="00A85503"/>
    <w:rsid w:val="00A856A6"/>
    <w:rsid w:val="00A877F6"/>
    <w:rsid w:val="00A87FA2"/>
    <w:rsid w:val="00AA1514"/>
    <w:rsid w:val="00AA29C8"/>
    <w:rsid w:val="00AB325E"/>
    <w:rsid w:val="00AC336C"/>
    <w:rsid w:val="00AD05A9"/>
    <w:rsid w:val="00AD2FDC"/>
    <w:rsid w:val="00AE39D1"/>
    <w:rsid w:val="00AE6A15"/>
    <w:rsid w:val="00AE7076"/>
    <w:rsid w:val="00AF445C"/>
    <w:rsid w:val="00AF48E5"/>
    <w:rsid w:val="00AF5564"/>
    <w:rsid w:val="00AF5F69"/>
    <w:rsid w:val="00AF6134"/>
    <w:rsid w:val="00AF6A91"/>
    <w:rsid w:val="00B04993"/>
    <w:rsid w:val="00B077C2"/>
    <w:rsid w:val="00B16534"/>
    <w:rsid w:val="00B23265"/>
    <w:rsid w:val="00B35292"/>
    <w:rsid w:val="00B434A6"/>
    <w:rsid w:val="00B53477"/>
    <w:rsid w:val="00B54E9C"/>
    <w:rsid w:val="00B60485"/>
    <w:rsid w:val="00B6151C"/>
    <w:rsid w:val="00B619CD"/>
    <w:rsid w:val="00B63D6B"/>
    <w:rsid w:val="00B64A28"/>
    <w:rsid w:val="00B64FD9"/>
    <w:rsid w:val="00B65413"/>
    <w:rsid w:val="00B67272"/>
    <w:rsid w:val="00B70473"/>
    <w:rsid w:val="00B71C2A"/>
    <w:rsid w:val="00B90162"/>
    <w:rsid w:val="00B94B7A"/>
    <w:rsid w:val="00BB0DDC"/>
    <w:rsid w:val="00BC76EB"/>
    <w:rsid w:val="00BD3DDF"/>
    <w:rsid w:val="00BD5DFE"/>
    <w:rsid w:val="00BD61BA"/>
    <w:rsid w:val="00BE4DBA"/>
    <w:rsid w:val="00BF1797"/>
    <w:rsid w:val="00BF2FCA"/>
    <w:rsid w:val="00BF3E1B"/>
    <w:rsid w:val="00C0198C"/>
    <w:rsid w:val="00C031F2"/>
    <w:rsid w:val="00C04AF8"/>
    <w:rsid w:val="00C10483"/>
    <w:rsid w:val="00C1702A"/>
    <w:rsid w:val="00C17B0D"/>
    <w:rsid w:val="00C3083C"/>
    <w:rsid w:val="00C31666"/>
    <w:rsid w:val="00C449D3"/>
    <w:rsid w:val="00C524A5"/>
    <w:rsid w:val="00C60380"/>
    <w:rsid w:val="00C630D2"/>
    <w:rsid w:val="00C64483"/>
    <w:rsid w:val="00C66006"/>
    <w:rsid w:val="00C7626E"/>
    <w:rsid w:val="00C85B3D"/>
    <w:rsid w:val="00C90F9C"/>
    <w:rsid w:val="00C9368A"/>
    <w:rsid w:val="00CA12FE"/>
    <w:rsid w:val="00CA2C3D"/>
    <w:rsid w:val="00CA2EE0"/>
    <w:rsid w:val="00CA5B7F"/>
    <w:rsid w:val="00CB33A7"/>
    <w:rsid w:val="00CC0FA2"/>
    <w:rsid w:val="00CC2267"/>
    <w:rsid w:val="00CC45F8"/>
    <w:rsid w:val="00CC6153"/>
    <w:rsid w:val="00CD054C"/>
    <w:rsid w:val="00CD1ED1"/>
    <w:rsid w:val="00CE081D"/>
    <w:rsid w:val="00CE1A74"/>
    <w:rsid w:val="00CF7C9D"/>
    <w:rsid w:val="00D03034"/>
    <w:rsid w:val="00D03B72"/>
    <w:rsid w:val="00D065DC"/>
    <w:rsid w:val="00D06934"/>
    <w:rsid w:val="00D1689F"/>
    <w:rsid w:val="00D22948"/>
    <w:rsid w:val="00D3033E"/>
    <w:rsid w:val="00D3223B"/>
    <w:rsid w:val="00D337A7"/>
    <w:rsid w:val="00D3586E"/>
    <w:rsid w:val="00D364FD"/>
    <w:rsid w:val="00D365F9"/>
    <w:rsid w:val="00D37EE0"/>
    <w:rsid w:val="00D40191"/>
    <w:rsid w:val="00D405E3"/>
    <w:rsid w:val="00D4554A"/>
    <w:rsid w:val="00D65AF1"/>
    <w:rsid w:val="00D707AD"/>
    <w:rsid w:val="00D766EA"/>
    <w:rsid w:val="00D774A1"/>
    <w:rsid w:val="00D8553D"/>
    <w:rsid w:val="00D86B36"/>
    <w:rsid w:val="00D97809"/>
    <w:rsid w:val="00DA0EC8"/>
    <w:rsid w:val="00DA4621"/>
    <w:rsid w:val="00DA6F2D"/>
    <w:rsid w:val="00DB34E2"/>
    <w:rsid w:val="00DB4F40"/>
    <w:rsid w:val="00DC3A6C"/>
    <w:rsid w:val="00DC47D0"/>
    <w:rsid w:val="00DC62D7"/>
    <w:rsid w:val="00DC772A"/>
    <w:rsid w:val="00DD0318"/>
    <w:rsid w:val="00DD0E64"/>
    <w:rsid w:val="00DD0FE4"/>
    <w:rsid w:val="00DD3C6E"/>
    <w:rsid w:val="00DF0E66"/>
    <w:rsid w:val="00DF12DC"/>
    <w:rsid w:val="00DF256C"/>
    <w:rsid w:val="00DF7727"/>
    <w:rsid w:val="00E03BE8"/>
    <w:rsid w:val="00E03D08"/>
    <w:rsid w:val="00E26FA1"/>
    <w:rsid w:val="00E2798F"/>
    <w:rsid w:val="00E27B11"/>
    <w:rsid w:val="00E327C6"/>
    <w:rsid w:val="00E35FFD"/>
    <w:rsid w:val="00E36223"/>
    <w:rsid w:val="00E37FEC"/>
    <w:rsid w:val="00E4222F"/>
    <w:rsid w:val="00E42C33"/>
    <w:rsid w:val="00E44944"/>
    <w:rsid w:val="00E45978"/>
    <w:rsid w:val="00E54012"/>
    <w:rsid w:val="00E554A6"/>
    <w:rsid w:val="00E66A22"/>
    <w:rsid w:val="00E66C05"/>
    <w:rsid w:val="00E72B09"/>
    <w:rsid w:val="00E7464D"/>
    <w:rsid w:val="00E805D0"/>
    <w:rsid w:val="00E8587F"/>
    <w:rsid w:val="00E9592F"/>
    <w:rsid w:val="00E96AAA"/>
    <w:rsid w:val="00EA0388"/>
    <w:rsid w:val="00EC57C3"/>
    <w:rsid w:val="00EC5F12"/>
    <w:rsid w:val="00ED48A3"/>
    <w:rsid w:val="00EF097F"/>
    <w:rsid w:val="00EF4EBE"/>
    <w:rsid w:val="00EF5E74"/>
    <w:rsid w:val="00F039AE"/>
    <w:rsid w:val="00F12A12"/>
    <w:rsid w:val="00F20686"/>
    <w:rsid w:val="00F27858"/>
    <w:rsid w:val="00F379A1"/>
    <w:rsid w:val="00F40CB7"/>
    <w:rsid w:val="00F56D98"/>
    <w:rsid w:val="00F57360"/>
    <w:rsid w:val="00F57439"/>
    <w:rsid w:val="00F611FA"/>
    <w:rsid w:val="00F73F9F"/>
    <w:rsid w:val="00F8194D"/>
    <w:rsid w:val="00F934BA"/>
    <w:rsid w:val="00F95C01"/>
    <w:rsid w:val="00F969E0"/>
    <w:rsid w:val="00FA57E3"/>
    <w:rsid w:val="00FA7271"/>
    <w:rsid w:val="00FA73C1"/>
    <w:rsid w:val="00FB188B"/>
    <w:rsid w:val="00FC00C5"/>
    <w:rsid w:val="00FC6B18"/>
    <w:rsid w:val="00FC6DDE"/>
    <w:rsid w:val="00FD0045"/>
    <w:rsid w:val="00FD417D"/>
    <w:rsid w:val="00FE106D"/>
    <w:rsid w:val="00FE406C"/>
    <w:rsid w:val="00FF4219"/>
    <w:rsid w:val="00FF665C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CB63"/>
  <w15:docId w15:val="{0EE11C6E-C2AD-4618-84D2-6923E19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7C6"/>
    <w:pPr>
      <w:suppressAutoHyphens/>
      <w:ind w:right="851"/>
    </w:pPr>
    <w:rPr>
      <w:rFonts w:ascii="Calibri" w:eastAsia="Calibri" w:hAnsi="Calibri" w:cs="Times New Roman"/>
      <w:color w:val="00000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C6"/>
    <w:rPr>
      <w:rFonts w:ascii="Tahoma" w:eastAsia="Calibri" w:hAnsi="Tahoma" w:cs="Tahoma"/>
      <w:color w:val="00000A"/>
      <w:sz w:val="16"/>
      <w:szCs w:val="16"/>
      <w:lang w:val="pl-PL"/>
    </w:rPr>
  </w:style>
  <w:style w:type="paragraph" w:customStyle="1" w:styleId="Nagwek11">
    <w:name w:val="Nagłówek 11"/>
    <w:basedOn w:val="Normalny"/>
    <w:next w:val="Normalny"/>
    <w:link w:val="Heading1Char"/>
    <w:uiPriority w:val="9"/>
    <w:qFormat/>
    <w:rsid w:val="00E327C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Heading1Char">
    <w:name w:val="Heading 1 Char"/>
    <w:basedOn w:val="Domylnaczcionkaakapitu"/>
    <w:link w:val="Nagwek11"/>
    <w:uiPriority w:val="9"/>
    <w:qFormat/>
    <w:rsid w:val="00E327C6"/>
    <w:rPr>
      <w:rFonts w:ascii="Cambria" w:eastAsia="Times New Roman" w:hAnsi="Cambria" w:cs="Times New Roman"/>
      <w:b/>
      <w:bCs/>
      <w:color w:val="00000A"/>
      <w:sz w:val="32"/>
      <w:szCs w:val="32"/>
      <w:lang w:val="pl-PL"/>
    </w:rPr>
  </w:style>
  <w:style w:type="paragraph" w:customStyle="1" w:styleId="Nagwek21">
    <w:name w:val="Nagłówek 21"/>
    <w:basedOn w:val="Normalny"/>
    <w:next w:val="Normalny"/>
    <w:link w:val="Heading2Char"/>
    <w:uiPriority w:val="9"/>
    <w:unhideWhenUsed/>
    <w:qFormat/>
    <w:rsid w:val="00E74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">
    <w:name w:val="Heading 2 Char"/>
    <w:basedOn w:val="Domylnaczcionkaakapitu"/>
    <w:link w:val="Nagwek21"/>
    <w:uiPriority w:val="9"/>
    <w:qFormat/>
    <w:rsid w:val="00E7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Akapitzlist">
    <w:name w:val="List Paragraph"/>
    <w:basedOn w:val="Normalny"/>
    <w:uiPriority w:val="99"/>
    <w:qFormat/>
    <w:rsid w:val="003033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5F9"/>
    <w:rPr>
      <w:rFonts w:ascii="Calibri" w:eastAsia="Calibri" w:hAnsi="Calibri" w:cs="Times New Roman"/>
      <w:color w:val="00000A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5F9"/>
    <w:rPr>
      <w:vertAlign w:val="superscript"/>
    </w:rPr>
  </w:style>
  <w:style w:type="table" w:styleId="Tabela-Siatka">
    <w:name w:val="Table Grid"/>
    <w:basedOn w:val="Standardowy"/>
    <w:uiPriority w:val="59"/>
    <w:rsid w:val="002F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1">
    <w:name w:val="Nagłówek 31"/>
    <w:basedOn w:val="Normalny"/>
    <w:next w:val="Normalny"/>
    <w:link w:val="Heading3Char"/>
    <w:uiPriority w:val="9"/>
    <w:unhideWhenUsed/>
    <w:qFormat/>
    <w:rsid w:val="00D70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">
    <w:name w:val="Heading 3 Char"/>
    <w:basedOn w:val="Domylnaczcionkaakapitu"/>
    <w:link w:val="Nagwek31"/>
    <w:uiPriority w:val="9"/>
    <w:qFormat/>
    <w:rsid w:val="00D707AD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9B7"/>
    <w:rPr>
      <w:rFonts w:ascii="Calibri" w:eastAsia="Calibri" w:hAnsi="Calibri" w:cs="Times New Roman"/>
      <w:color w:val="00000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9B7"/>
    <w:rPr>
      <w:rFonts w:ascii="Calibri" w:eastAsia="Calibri" w:hAnsi="Calibri" w:cs="Times New Roman"/>
      <w:b/>
      <w:bCs/>
      <w:color w:val="00000A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A239B7"/>
    <w:pPr>
      <w:spacing w:after="0" w:line="240" w:lineRule="auto"/>
    </w:pPr>
    <w:rPr>
      <w:rFonts w:ascii="Calibri" w:eastAsia="Calibri" w:hAnsi="Calibri" w:cs="Times New Roman"/>
      <w:color w:val="00000A"/>
      <w:lang w:val="pl-PL"/>
    </w:rPr>
  </w:style>
  <w:style w:type="character" w:customStyle="1" w:styleId="alb">
    <w:name w:val="a_lb"/>
    <w:basedOn w:val="Domylnaczcionkaakapitu"/>
    <w:rsid w:val="00FD417D"/>
  </w:style>
  <w:style w:type="character" w:customStyle="1" w:styleId="alb-s">
    <w:name w:val="a_lb-s"/>
    <w:basedOn w:val="Domylnaczcionkaakapitu"/>
    <w:rsid w:val="00FD417D"/>
  </w:style>
  <w:style w:type="character" w:styleId="Uwydatnienie">
    <w:name w:val="Emphasis"/>
    <w:basedOn w:val="Domylnaczcionkaakapitu"/>
    <w:uiPriority w:val="20"/>
    <w:qFormat/>
    <w:rsid w:val="00FD417D"/>
    <w:rPr>
      <w:i/>
      <w:iCs/>
    </w:rPr>
  </w:style>
  <w:style w:type="character" w:customStyle="1" w:styleId="fn-ref">
    <w:name w:val="fn-ref"/>
    <w:basedOn w:val="Domylnaczcionkaakapitu"/>
    <w:rsid w:val="00FD417D"/>
  </w:style>
  <w:style w:type="paragraph" w:styleId="Nagwek">
    <w:name w:val="header"/>
    <w:basedOn w:val="Normalny"/>
    <w:link w:val="NagwekZnak"/>
    <w:uiPriority w:val="99"/>
    <w:unhideWhenUsed/>
    <w:rsid w:val="00D3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3B"/>
    <w:rPr>
      <w:rFonts w:ascii="Calibri" w:eastAsia="Calibri" w:hAnsi="Calibri" w:cs="Times New Roman"/>
      <w:color w:val="00000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3B"/>
    <w:rPr>
      <w:rFonts w:ascii="Calibri" w:eastAsia="Calibri" w:hAnsi="Calibri" w:cs="Times New Roman"/>
      <w:color w:val="00000A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482AF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6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4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5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47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2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6B97215-8B94-4273-B510-AEB7ECE0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7</Pages>
  <Words>2180</Words>
  <Characters>13086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Radców Prawnych CIC</Company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</dc:creator>
  <cp:lastModifiedBy>Tomasz Wierzchowski</cp:lastModifiedBy>
  <cp:revision>212</cp:revision>
  <cp:lastPrinted>2017-08-16T13:06:00Z</cp:lastPrinted>
  <dcterms:created xsi:type="dcterms:W3CDTF">2020-05-19T09:40:00Z</dcterms:created>
  <dcterms:modified xsi:type="dcterms:W3CDTF">2022-01-24T14:09:00Z</dcterms:modified>
</cp:coreProperties>
</file>