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CE54" w14:textId="77777777" w:rsidR="00EC483F" w:rsidRPr="00616370" w:rsidRDefault="00EC483F" w:rsidP="00EC483F">
      <w:pPr>
        <w:jc w:val="center"/>
        <w:rPr>
          <w:b/>
          <w:sz w:val="44"/>
          <w:szCs w:val="24"/>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1480"/>
        <w:gridCol w:w="601"/>
        <w:gridCol w:w="1282"/>
        <w:gridCol w:w="2687"/>
        <w:gridCol w:w="6"/>
        <w:gridCol w:w="561"/>
      </w:tblGrid>
      <w:tr w:rsidR="00EC483F" w:rsidRPr="00C43431" w14:paraId="1236D78A" w14:textId="77777777" w:rsidTr="00EC483F">
        <w:trPr>
          <w:gridAfter w:val="1"/>
          <w:wAfter w:w="561" w:type="dxa"/>
          <w:trHeight w:val="170"/>
        </w:trPr>
        <w:tc>
          <w:tcPr>
            <w:tcW w:w="9112" w:type="dxa"/>
            <w:gridSpan w:val="6"/>
            <w:tcBorders>
              <w:top w:val="single" w:sz="4" w:space="0" w:color="auto"/>
              <w:left w:val="nil"/>
              <w:bottom w:val="nil"/>
              <w:right w:val="nil"/>
            </w:tcBorders>
            <w:shd w:val="pct25" w:color="auto" w:fill="auto"/>
            <w:vAlign w:val="center"/>
          </w:tcPr>
          <w:p w14:paraId="310E71F7" w14:textId="77777777" w:rsidR="00EC483F" w:rsidRPr="003E556E" w:rsidRDefault="00EC483F" w:rsidP="006A014E">
            <w:pPr>
              <w:rPr>
                <w:b/>
                <w:sz w:val="16"/>
                <w:szCs w:val="16"/>
              </w:rPr>
            </w:pPr>
            <w:r w:rsidRPr="003E556E">
              <w:rPr>
                <w:b/>
                <w:sz w:val="16"/>
                <w:szCs w:val="16"/>
              </w:rPr>
              <w:t>NAZWA I ADRES INWESTORA</w:t>
            </w:r>
          </w:p>
        </w:tc>
      </w:tr>
      <w:tr w:rsidR="00EC483F" w:rsidRPr="00C43431" w14:paraId="4F34DE2B" w14:textId="77777777" w:rsidTr="00EC483F">
        <w:trPr>
          <w:trHeight w:val="568"/>
        </w:trPr>
        <w:tc>
          <w:tcPr>
            <w:tcW w:w="5137" w:type="dxa"/>
            <w:gridSpan w:val="3"/>
            <w:vMerge w:val="restart"/>
            <w:tcBorders>
              <w:top w:val="nil"/>
              <w:left w:val="nil"/>
              <w:bottom w:val="nil"/>
              <w:right w:val="nil"/>
            </w:tcBorders>
            <w:vAlign w:val="center"/>
          </w:tcPr>
          <w:p w14:paraId="5CF7958F" w14:textId="77777777" w:rsidR="00EC483F" w:rsidRPr="00C43431" w:rsidRDefault="00EC483F" w:rsidP="00EC483F">
            <w:pPr>
              <w:ind w:left="0" w:firstLine="0"/>
              <w:jc w:val="right"/>
              <w:rPr>
                <w:szCs w:val="28"/>
              </w:rPr>
            </w:pPr>
          </w:p>
        </w:tc>
        <w:tc>
          <w:tcPr>
            <w:tcW w:w="4536" w:type="dxa"/>
            <w:gridSpan w:val="4"/>
            <w:tcBorders>
              <w:top w:val="nil"/>
              <w:left w:val="nil"/>
              <w:bottom w:val="nil"/>
              <w:right w:val="nil"/>
            </w:tcBorders>
          </w:tcPr>
          <w:p w14:paraId="21317348" w14:textId="77777777" w:rsidR="00EC483F" w:rsidRPr="009B3C44" w:rsidRDefault="00EC483F" w:rsidP="00EC483F">
            <w:pPr>
              <w:autoSpaceDE w:val="0"/>
              <w:autoSpaceDN w:val="0"/>
              <w:adjustRightInd w:val="0"/>
              <w:ind w:left="0" w:firstLine="0"/>
              <w:rPr>
                <w:rFonts w:ascii="Calibri" w:hAnsi="Calibri"/>
                <w:sz w:val="20"/>
              </w:rPr>
            </w:pPr>
            <w:r w:rsidRPr="009B3C44">
              <w:rPr>
                <w:rFonts w:ascii="Calibri" w:hAnsi="Calibri"/>
                <w:sz w:val="20"/>
              </w:rPr>
              <w:t xml:space="preserve">Województwo Kujawsko – Pomorskie z siedzibą </w:t>
            </w:r>
          </w:p>
          <w:p w14:paraId="01204CF4" w14:textId="0343DEA4" w:rsidR="00EC483F" w:rsidRPr="00034E8A" w:rsidRDefault="00EC483F" w:rsidP="00EC483F">
            <w:pPr>
              <w:autoSpaceDE w:val="0"/>
              <w:autoSpaceDN w:val="0"/>
              <w:adjustRightInd w:val="0"/>
              <w:jc w:val="center"/>
              <w:rPr>
                <w:rFonts w:ascii="Calibri" w:hAnsi="Calibri"/>
                <w:sz w:val="20"/>
              </w:rPr>
            </w:pPr>
            <w:r>
              <w:rPr>
                <w:rFonts w:ascii="Calibri" w:hAnsi="Calibri"/>
                <w:sz w:val="20"/>
              </w:rPr>
              <w:t xml:space="preserve">                    </w:t>
            </w:r>
            <w:r w:rsidRPr="009B3C44">
              <w:rPr>
                <w:rFonts w:ascii="Calibri" w:hAnsi="Calibri"/>
                <w:sz w:val="20"/>
              </w:rPr>
              <w:t>w Toruniu, Pl. Teatralny 2</w:t>
            </w:r>
          </w:p>
        </w:tc>
      </w:tr>
      <w:tr w:rsidR="00EC483F" w:rsidRPr="00C42253" w14:paraId="7DFEB320" w14:textId="77777777" w:rsidTr="00EC483F">
        <w:trPr>
          <w:trHeight w:val="170"/>
        </w:trPr>
        <w:tc>
          <w:tcPr>
            <w:tcW w:w="5137" w:type="dxa"/>
            <w:gridSpan w:val="3"/>
            <w:vMerge/>
            <w:tcBorders>
              <w:top w:val="nil"/>
              <w:left w:val="nil"/>
              <w:bottom w:val="nil"/>
              <w:right w:val="nil"/>
            </w:tcBorders>
            <w:vAlign w:val="center"/>
          </w:tcPr>
          <w:p w14:paraId="3A3BF3EF" w14:textId="77777777" w:rsidR="00EC483F" w:rsidRPr="00C43431" w:rsidRDefault="00EC483F" w:rsidP="006A014E">
            <w:pPr>
              <w:jc w:val="center"/>
              <w:rPr>
                <w:szCs w:val="28"/>
                <w:lang w:val="en-US"/>
              </w:rPr>
            </w:pPr>
          </w:p>
        </w:tc>
        <w:tc>
          <w:tcPr>
            <w:tcW w:w="4536" w:type="dxa"/>
            <w:gridSpan w:val="4"/>
            <w:tcBorders>
              <w:top w:val="nil"/>
              <w:left w:val="nil"/>
              <w:bottom w:val="nil"/>
              <w:right w:val="nil"/>
            </w:tcBorders>
          </w:tcPr>
          <w:p w14:paraId="2909F4BD" w14:textId="77777777" w:rsidR="00EC483F" w:rsidRPr="00034E8A" w:rsidRDefault="00EC483F" w:rsidP="006A014E">
            <w:pPr>
              <w:autoSpaceDE w:val="0"/>
              <w:autoSpaceDN w:val="0"/>
              <w:adjustRightInd w:val="0"/>
              <w:rPr>
                <w:rFonts w:ascii="Calibri" w:hAnsi="Calibri"/>
                <w:sz w:val="20"/>
              </w:rPr>
            </w:pPr>
          </w:p>
        </w:tc>
      </w:tr>
      <w:tr w:rsidR="00EC483F" w:rsidRPr="0098608F" w14:paraId="16829C63" w14:textId="77777777" w:rsidTr="00EC483F">
        <w:trPr>
          <w:gridAfter w:val="1"/>
          <w:wAfter w:w="561" w:type="dxa"/>
          <w:trHeight w:val="170"/>
        </w:trPr>
        <w:tc>
          <w:tcPr>
            <w:tcW w:w="9112" w:type="dxa"/>
            <w:gridSpan w:val="6"/>
            <w:tcBorders>
              <w:top w:val="single" w:sz="4" w:space="0" w:color="auto"/>
              <w:left w:val="nil"/>
              <w:bottom w:val="nil"/>
              <w:right w:val="nil"/>
            </w:tcBorders>
            <w:shd w:val="pct25" w:color="auto" w:fill="auto"/>
            <w:vAlign w:val="center"/>
          </w:tcPr>
          <w:p w14:paraId="2F2AC2DE" w14:textId="77777777" w:rsidR="00EC483F" w:rsidRPr="003E556E" w:rsidRDefault="00EC483F" w:rsidP="006A014E">
            <w:pPr>
              <w:rPr>
                <w:b/>
                <w:sz w:val="16"/>
                <w:szCs w:val="16"/>
              </w:rPr>
            </w:pPr>
            <w:r w:rsidRPr="003E556E">
              <w:rPr>
                <w:b/>
                <w:sz w:val="16"/>
                <w:szCs w:val="16"/>
              </w:rPr>
              <w:t>NAZWA I ADRES JEDNOSTKI PROJEKTOWEJ</w:t>
            </w:r>
          </w:p>
        </w:tc>
      </w:tr>
      <w:tr w:rsidR="00EC483F" w:rsidRPr="001B145D" w14:paraId="6B18D6EF" w14:textId="77777777" w:rsidTr="00EC483F">
        <w:trPr>
          <w:gridAfter w:val="2"/>
          <w:wAfter w:w="567" w:type="dxa"/>
          <w:trHeight w:val="170"/>
        </w:trPr>
        <w:tc>
          <w:tcPr>
            <w:tcW w:w="5137" w:type="dxa"/>
            <w:gridSpan w:val="3"/>
            <w:vMerge w:val="restart"/>
            <w:tcBorders>
              <w:top w:val="nil"/>
              <w:left w:val="nil"/>
              <w:bottom w:val="nil"/>
              <w:right w:val="nil"/>
            </w:tcBorders>
            <w:vAlign w:val="center"/>
          </w:tcPr>
          <w:p w14:paraId="2BB63E5C" w14:textId="77777777" w:rsidR="00EC483F" w:rsidRPr="00C43431" w:rsidRDefault="00EC483F" w:rsidP="006A014E">
            <w:pPr>
              <w:jc w:val="center"/>
              <w:rPr>
                <w:szCs w:val="28"/>
              </w:rPr>
            </w:pPr>
            <w:r>
              <w:rPr>
                <w:noProof/>
                <w:szCs w:val="28"/>
              </w:rPr>
              <w:drawing>
                <wp:anchor distT="0" distB="0" distL="114300" distR="114300" simplePos="0" relativeHeight="251659264" behindDoc="0" locked="0" layoutInCell="1" allowOverlap="1" wp14:anchorId="272C1973" wp14:editId="61D90D9E">
                  <wp:simplePos x="0" y="0"/>
                  <wp:positionH relativeFrom="column">
                    <wp:posOffset>-1910715</wp:posOffset>
                  </wp:positionH>
                  <wp:positionV relativeFrom="paragraph">
                    <wp:posOffset>114300</wp:posOffset>
                  </wp:positionV>
                  <wp:extent cx="1938655" cy="46990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8655" cy="469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969" w:type="dxa"/>
            <w:gridSpan w:val="2"/>
            <w:tcBorders>
              <w:top w:val="nil"/>
              <w:left w:val="nil"/>
              <w:bottom w:val="nil"/>
              <w:right w:val="nil"/>
            </w:tcBorders>
          </w:tcPr>
          <w:p w14:paraId="09831256" w14:textId="77777777" w:rsidR="00EC483F" w:rsidRDefault="00EC483F" w:rsidP="00EC483F">
            <w:pPr>
              <w:tabs>
                <w:tab w:val="center" w:pos="7365"/>
              </w:tabs>
              <w:ind w:left="0" w:right="459" w:firstLine="0"/>
              <w:jc w:val="right"/>
              <w:rPr>
                <w:rFonts w:ascii="Calibri" w:hAnsi="Calibri"/>
                <w:i/>
                <w:sz w:val="20"/>
              </w:rPr>
            </w:pPr>
          </w:p>
          <w:p w14:paraId="04632897" w14:textId="77777777" w:rsidR="00EC483F" w:rsidRPr="006F312F" w:rsidRDefault="00EC483F" w:rsidP="00EC483F">
            <w:pPr>
              <w:tabs>
                <w:tab w:val="center" w:pos="7365"/>
              </w:tabs>
              <w:ind w:right="459" w:firstLine="512"/>
              <w:jc w:val="right"/>
              <w:rPr>
                <w:rFonts w:ascii="Calibri" w:hAnsi="Calibri"/>
                <w:i/>
                <w:sz w:val="20"/>
              </w:rPr>
            </w:pPr>
            <w:r w:rsidRPr="006F312F">
              <w:rPr>
                <w:rFonts w:ascii="Calibri" w:hAnsi="Calibri"/>
                <w:i/>
                <w:sz w:val="20"/>
              </w:rPr>
              <w:t xml:space="preserve">TELARM-TECH  </w:t>
            </w:r>
            <w:r w:rsidRPr="008C0B5F">
              <w:rPr>
                <w:rFonts w:ascii="Calibri" w:hAnsi="Calibri"/>
                <w:sz w:val="20"/>
              </w:rPr>
              <w:t xml:space="preserve">Dawid </w:t>
            </w:r>
            <w:proofErr w:type="spellStart"/>
            <w:r w:rsidRPr="008C0B5F">
              <w:rPr>
                <w:rFonts w:ascii="Calibri" w:hAnsi="Calibri"/>
                <w:sz w:val="20"/>
              </w:rPr>
              <w:t>Rzóska</w:t>
            </w:r>
            <w:proofErr w:type="spellEnd"/>
          </w:p>
        </w:tc>
      </w:tr>
      <w:tr w:rsidR="00EC483F" w:rsidRPr="006F312F" w14:paraId="0E4ED707" w14:textId="77777777" w:rsidTr="00EC483F">
        <w:trPr>
          <w:gridAfter w:val="2"/>
          <w:wAfter w:w="567" w:type="dxa"/>
          <w:trHeight w:val="170"/>
        </w:trPr>
        <w:tc>
          <w:tcPr>
            <w:tcW w:w="5137" w:type="dxa"/>
            <w:gridSpan w:val="3"/>
            <w:vMerge/>
            <w:tcBorders>
              <w:top w:val="nil"/>
              <w:left w:val="nil"/>
              <w:bottom w:val="nil"/>
              <w:right w:val="nil"/>
            </w:tcBorders>
            <w:vAlign w:val="center"/>
          </w:tcPr>
          <w:p w14:paraId="32FA83DD" w14:textId="77777777" w:rsidR="00EC483F" w:rsidRPr="00C43431" w:rsidRDefault="00EC483F" w:rsidP="006A014E">
            <w:pPr>
              <w:jc w:val="center"/>
              <w:rPr>
                <w:szCs w:val="28"/>
                <w:lang w:val="en-US"/>
              </w:rPr>
            </w:pPr>
          </w:p>
        </w:tc>
        <w:tc>
          <w:tcPr>
            <w:tcW w:w="3969" w:type="dxa"/>
            <w:gridSpan w:val="2"/>
            <w:tcBorders>
              <w:top w:val="nil"/>
              <w:left w:val="nil"/>
              <w:bottom w:val="nil"/>
              <w:right w:val="nil"/>
            </w:tcBorders>
          </w:tcPr>
          <w:p w14:paraId="4FA184A2" w14:textId="77777777" w:rsidR="00EC483F" w:rsidRPr="006F312F" w:rsidRDefault="00EC483F" w:rsidP="00EC483F">
            <w:pPr>
              <w:tabs>
                <w:tab w:val="center" w:pos="7350"/>
              </w:tabs>
              <w:ind w:left="459" w:right="459" w:hanging="459"/>
              <w:jc w:val="right"/>
              <w:rPr>
                <w:rFonts w:ascii="Calibri" w:hAnsi="Calibri"/>
                <w:sz w:val="20"/>
              </w:rPr>
            </w:pPr>
            <w:r w:rsidRPr="006F312F">
              <w:rPr>
                <w:rFonts w:ascii="Calibri" w:hAnsi="Calibri"/>
                <w:sz w:val="20"/>
              </w:rPr>
              <w:t>85-753 Bydgoszcz  ul. Oksywska 5</w:t>
            </w:r>
          </w:p>
          <w:p w14:paraId="026A2268" w14:textId="77777777" w:rsidR="00EC483F" w:rsidRPr="006F312F" w:rsidRDefault="00EC483F" w:rsidP="00EC483F">
            <w:pPr>
              <w:tabs>
                <w:tab w:val="center" w:pos="7350"/>
              </w:tabs>
              <w:ind w:left="459" w:right="459" w:hanging="459"/>
              <w:jc w:val="right"/>
              <w:rPr>
                <w:rFonts w:ascii="Calibri" w:hAnsi="Calibri"/>
                <w:sz w:val="20"/>
              </w:rPr>
            </w:pPr>
            <w:proofErr w:type="spellStart"/>
            <w:r w:rsidRPr="006F312F">
              <w:rPr>
                <w:rFonts w:ascii="Calibri" w:hAnsi="Calibri"/>
                <w:sz w:val="20"/>
              </w:rPr>
              <w:t>tel</w:t>
            </w:r>
            <w:proofErr w:type="spellEnd"/>
            <w:r w:rsidRPr="006F312F">
              <w:rPr>
                <w:rFonts w:ascii="Calibri" w:hAnsi="Calibri"/>
                <w:sz w:val="20"/>
              </w:rPr>
              <w:t xml:space="preserve">  661 661 011</w:t>
            </w:r>
          </w:p>
          <w:p w14:paraId="3CB6A44E" w14:textId="77777777" w:rsidR="00EC483F" w:rsidRPr="006F312F" w:rsidRDefault="00EC483F" w:rsidP="00EC483F">
            <w:pPr>
              <w:tabs>
                <w:tab w:val="center" w:pos="7335"/>
              </w:tabs>
              <w:ind w:left="459" w:right="459" w:hanging="459"/>
              <w:jc w:val="right"/>
              <w:rPr>
                <w:rFonts w:ascii="Trebuchet MS" w:hAnsi="Trebuchet MS"/>
                <w:sz w:val="20"/>
              </w:rPr>
            </w:pPr>
            <w:r w:rsidRPr="006F312F">
              <w:rPr>
                <w:rFonts w:ascii="Calibri" w:hAnsi="Calibri"/>
                <w:sz w:val="20"/>
              </w:rPr>
              <w:t>telarm-tech@telarm.com.pl</w:t>
            </w:r>
          </w:p>
          <w:p w14:paraId="45CA2AD7" w14:textId="77777777" w:rsidR="00EC483F" w:rsidRDefault="00EC483F" w:rsidP="00EC483F">
            <w:pPr>
              <w:tabs>
                <w:tab w:val="center" w:pos="7350"/>
              </w:tabs>
              <w:ind w:right="459"/>
              <w:jc w:val="right"/>
              <w:rPr>
                <w:rFonts w:ascii="Calibri" w:hAnsi="Calibri"/>
                <w:sz w:val="20"/>
              </w:rPr>
            </w:pPr>
            <w:r w:rsidRPr="006F312F">
              <w:rPr>
                <w:rFonts w:ascii="Calibri" w:hAnsi="Calibri"/>
                <w:sz w:val="20"/>
              </w:rPr>
              <w:t>85-753 Bydgoszcz  ul. Oksywska 5</w:t>
            </w:r>
          </w:p>
          <w:p w14:paraId="77DA572A" w14:textId="77777777" w:rsidR="00EC483F" w:rsidRPr="006F312F" w:rsidRDefault="00EC483F" w:rsidP="00EC483F">
            <w:pPr>
              <w:tabs>
                <w:tab w:val="center" w:pos="7350"/>
              </w:tabs>
              <w:ind w:right="459"/>
              <w:jc w:val="right"/>
              <w:rPr>
                <w:rFonts w:ascii="Calibri" w:hAnsi="Calibri"/>
                <w:sz w:val="20"/>
              </w:rPr>
            </w:pPr>
          </w:p>
        </w:tc>
      </w:tr>
      <w:tr w:rsidR="00EC483F" w:rsidRPr="0098608F" w14:paraId="555047EA" w14:textId="77777777" w:rsidTr="00EC483F">
        <w:trPr>
          <w:gridAfter w:val="1"/>
          <w:wAfter w:w="561" w:type="dxa"/>
          <w:trHeight w:val="170"/>
        </w:trPr>
        <w:tc>
          <w:tcPr>
            <w:tcW w:w="9112" w:type="dxa"/>
            <w:gridSpan w:val="6"/>
            <w:tcBorders>
              <w:top w:val="single" w:sz="4" w:space="0" w:color="auto"/>
              <w:left w:val="nil"/>
              <w:bottom w:val="nil"/>
              <w:right w:val="nil"/>
            </w:tcBorders>
            <w:shd w:val="pct25" w:color="auto" w:fill="auto"/>
            <w:vAlign w:val="center"/>
          </w:tcPr>
          <w:p w14:paraId="019BE942" w14:textId="77777777" w:rsidR="00EC483F" w:rsidRPr="003E556E" w:rsidRDefault="00EC483F" w:rsidP="006A014E">
            <w:pPr>
              <w:rPr>
                <w:b/>
                <w:sz w:val="16"/>
                <w:szCs w:val="16"/>
              </w:rPr>
            </w:pPr>
            <w:r w:rsidRPr="003E556E">
              <w:rPr>
                <w:b/>
                <w:sz w:val="16"/>
                <w:szCs w:val="16"/>
              </w:rPr>
              <w:t>NAZWA I ADRES INWESTYCJI</w:t>
            </w:r>
          </w:p>
        </w:tc>
      </w:tr>
      <w:tr w:rsidR="00EC483F" w:rsidRPr="0098608F" w14:paraId="5516FCB0" w14:textId="77777777" w:rsidTr="00EC483F">
        <w:trPr>
          <w:gridAfter w:val="1"/>
          <w:wAfter w:w="561" w:type="dxa"/>
          <w:trHeight w:val="170"/>
        </w:trPr>
        <w:tc>
          <w:tcPr>
            <w:tcW w:w="9112" w:type="dxa"/>
            <w:gridSpan w:val="6"/>
            <w:tcBorders>
              <w:top w:val="nil"/>
              <w:left w:val="nil"/>
              <w:bottom w:val="nil"/>
              <w:right w:val="nil"/>
            </w:tcBorders>
            <w:vAlign w:val="center"/>
          </w:tcPr>
          <w:p w14:paraId="03E3CC08" w14:textId="77777777" w:rsidR="00EC483F" w:rsidRPr="000518E8" w:rsidRDefault="00EC483F" w:rsidP="006A014E">
            <w:pPr>
              <w:jc w:val="center"/>
              <w:rPr>
                <w:sz w:val="10"/>
                <w:szCs w:val="10"/>
              </w:rPr>
            </w:pPr>
          </w:p>
        </w:tc>
      </w:tr>
      <w:tr w:rsidR="00EC483F" w:rsidRPr="0098608F" w14:paraId="0D9B082F" w14:textId="77777777" w:rsidTr="00EC483F">
        <w:trPr>
          <w:gridAfter w:val="1"/>
          <w:wAfter w:w="561" w:type="dxa"/>
          <w:trHeight w:val="170"/>
        </w:trPr>
        <w:tc>
          <w:tcPr>
            <w:tcW w:w="9112" w:type="dxa"/>
            <w:gridSpan w:val="6"/>
            <w:tcBorders>
              <w:top w:val="nil"/>
              <w:left w:val="nil"/>
              <w:bottom w:val="nil"/>
              <w:right w:val="nil"/>
            </w:tcBorders>
          </w:tcPr>
          <w:p w14:paraId="6DE8C51A" w14:textId="77777777" w:rsidR="00EC483F" w:rsidRPr="00261537" w:rsidRDefault="00EC483F" w:rsidP="006A014E">
            <w:pPr>
              <w:autoSpaceDE w:val="0"/>
              <w:autoSpaceDN w:val="0"/>
              <w:adjustRightInd w:val="0"/>
              <w:jc w:val="center"/>
              <w:rPr>
                <w:b/>
              </w:rPr>
            </w:pPr>
            <w:r w:rsidRPr="00261537">
              <w:rPr>
                <w:b/>
              </w:rPr>
              <w:t xml:space="preserve">System SSP w budynku Kujawsko – Pomorskiego </w:t>
            </w:r>
          </w:p>
          <w:p w14:paraId="15DE5622" w14:textId="77777777" w:rsidR="00EC483F" w:rsidRPr="009C70D0" w:rsidRDefault="00EC483F" w:rsidP="006A014E">
            <w:pPr>
              <w:autoSpaceDE w:val="0"/>
              <w:autoSpaceDN w:val="0"/>
              <w:adjustRightInd w:val="0"/>
              <w:jc w:val="center"/>
              <w:rPr>
                <w:rFonts w:cs="Arial Narrow"/>
                <w:b/>
                <w:bCs/>
                <w:szCs w:val="40"/>
                <w:lang w:eastAsia="en-US" w:bidi="pl-PL"/>
              </w:rPr>
            </w:pPr>
            <w:r w:rsidRPr="00261537">
              <w:rPr>
                <w:b/>
              </w:rPr>
              <w:t xml:space="preserve">Specjalnego Ośrodka </w:t>
            </w:r>
            <w:proofErr w:type="spellStart"/>
            <w:r w:rsidRPr="00261537">
              <w:rPr>
                <w:b/>
              </w:rPr>
              <w:t>Szkolno</w:t>
            </w:r>
            <w:proofErr w:type="spellEnd"/>
            <w:r w:rsidRPr="00261537">
              <w:rPr>
                <w:b/>
              </w:rPr>
              <w:t xml:space="preserve"> – Wychowawczego nr 2 dla Dzieci i Młodzieży Słabo Słyszącej im. Gen. Stanisława Maczka</w:t>
            </w:r>
          </w:p>
        </w:tc>
      </w:tr>
      <w:tr w:rsidR="00EC483F" w:rsidRPr="00717AFE" w14:paraId="79EFAEBB" w14:textId="77777777" w:rsidTr="00EC483F">
        <w:trPr>
          <w:gridAfter w:val="1"/>
          <w:wAfter w:w="561" w:type="dxa"/>
          <w:trHeight w:val="170"/>
        </w:trPr>
        <w:tc>
          <w:tcPr>
            <w:tcW w:w="9112" w:type="dxa"/>
            <w:gridSpan w:val="6"/>
            <w:tcBorders>
              <w:top w:val="nil"/>
              <w:left w:val="nil"/>
              <w:bottom w:val="nil"/>
              <w:right w:val="nil"/>
            </w:tcBorders>
          </w:tcPr>
          <w:p w14:paraId="0F959E89" w14:textId="77777777" w:rsidR="00EC483F" w:rsidRPr="00356E0D" w:rsidRDefault="00EC483F" w:rsidP="006A014E"/>
        </w:tc>
      </w:tr>
      <w:tr w:rsidR="00EC483F" w:rsidRPr="0098608F" w14:paraId="0F891ED0" w14:textId="77777777" w:rsidTr="00EC483F">
        <w:trPr>
          <w:gridAfter w:val="1"/>
          <w:wAfter w:w="561" w:type="dxa"/>
          <w:trHeight w:val="170"/>
        </w:trPr>
        <w:tc>
          <w:tcPr>
            <w:tcW w:w="9112" w:type="dxa"/>
            <w:gridSpan w:val="6"/>
            <w:tcBorders>
              <w:top w:val="nil"/>
              <w:left w:val="nil"/>
              <w:bottom w:val="single" w:sz="4" w:space="0" w:color="auto"/>
              <w:right w:val="nil"/>
            </w:tcBorders>
            <w:vAlign w:val="center"/>
          </w:tcPr>
          <w:p w14:paraId="7B0F2847" w14:textId="77777777" w:rsidR="00EC483F" w:rsidRPr="005E26E8" w:rsidRDefault="00EC483F" w:rsidP="006A014E">
            <w:pPr>
              <w:rPr>
                <w:sz w:val="6"/>
                <w:szCs w:val="6"/>
              </w:rPr>
            </w:pPr>
          </w:p>
        </w:tc>
      </w:tr>
      <w:tr w:rsidR="00EC483F" w:rsidRPr="0098608F" w14:paraId="4BDE6E34" w14:textId="77777777" w:rsidTr="00EC483F">
        <w:trPr>
          <w:gridAfter w:val="1"/>
          <w:wAfter w:w="561" w:type="dxa"/>
          <w:trHeight w:val="70"/>
        </w:trPr>
        <w:tc>
          <w:tcPr>
            <w:tcW w:w="9112" w:type="dxa"/>
            <w:gridSpan w:val="6"/>
            <w:tcBorders>
              <w:top w:val="single" w:sz="4" w:space="0" w:color="auto"/>
              <w:left w:val="nil"/>
              <w:bottom w:val="nil"/>
              <w:right w:val="nil"/>
            </w:tcBorders>
            <w:shd w:val="pct25" w:color="auto" w:fill="auto"/>
            <w:vAlign w:val="center"/>
          </w:tcPr>
          <w:p w14:paraId="1A6FBE26" w14:textId="77777777" w:rsidR="00EC483F" w:rsidRPr="003E556E" w:rsidRDefault="00EC483F" w:rsidP="006A014E">
            <w:pPr>
              <w:rPr>
                <w:b/>
                <w:sz w:val="16"/>
                <w:szCs w:val="16"/>
              </w:rPr>
            </w:pPr>
            <w:r w:rsidRPr="003E556E">
              <w:rPr>
                <w:b/>
                <w:sz w:val="16"/>
                <w:szCs w:val="16"/>
              </w:rPr>
              <w:t>STADIUM</w:t>
            </w:r>
          </w:p>
        </w:tc>
      </w:tr>
      <w:tr w:rsidR="00EC483F" w:rsidRPr="0098608F" w14:paraId="5C1D1224" w14:textId="77777777" w:rsidTr="00EC483F">
        <w:trPr>
          <w:gridAfter w:val="1"/>
          <w:wAfter w:w="561" w:type="dxa"/>
          <w:trHeight w:val="170"/>
        </w:trPr>
        <w:tc>
          <w:tcPr>
            <w:tcW w:w="9112" w:type="dxa"/>
            <w:gridSpan w:val="6"/>
            <w:tcBorders>
              <w:top w:val="nil"/>
              <w:left w:val="nil"/>
              <w:bottom w:val="nil"/>
              <w:right w:val="nil"/>
            </w:tcBorders>
            <w:vAlign w:val="center"/>
          </w:tcPr>
          <w:p w14:paraId="2F3695C9" w14:textId="77777777" w:rsidR="00EC483F" w:rsidRPr="005E26E8" w:rsidRDefault="00EC483F" w:rsidP="006A014E">
            <w:pPr>
              <w:jc w:val="center"/>
              <w:rPr>
                <w:sz w:val="6"/>
                <w:szCs w:val="6"/>
              </w:rPr>
            </w:pPr>
          </w:p>
        </w:tc>
      </w:tr>
      <w:tr w:rsidR="00EC483F" w:rsidRPr="0098608F" w14:paraId="2847484D" w14:textId="77777777" w:rsidTr="00EC483F">
        <w:trPr>
          <w:gridAfter w:val="1"/>
          <w:wAfter w:w="561" w:type="dxa"/>
          <w:trHeight w:val="170"/>
        </w:trPr>
        <w:tc>
          <w:tcPr>
            <w:tcW w:w="9112" w:type="dxa"/>
            <w:gridSpan w:val="6"/>
            <w:tcBorders>
              <w:top w:val="nil"/>
              <w:left w:val="nil"/>
              <w:bottom w:val="nil"/>
              <w:right w:val="nil"/>
            </w:tcBorders>
            <w:vAlign w:val="center"/>
          </w:tcPr>
          <w:p w14:paraId="624DCBEA" w14:textId="77777777" w:rsidR="00EC483F" w:rsidRDefault="00EC483F" w:rsidP="006A014E">
            <w:pPr>
              <w:jc w:val="center"/>
              <w:rPr>
                <w:b/>
                <w:szCs w:val="24"/>
              </w:rPr>
            </w:pPr>
          </w:p>
          <w:p w14:paraId="2B925803" w14:textId="21EDF836" w:rsidR="00EC483F" w:rsidRPr="00356E0D" w:rsidRDefault="004B001E" w:rsidP="006A014E">
            <w:pPr>
              <w:jc w:val="center"/>
              <w:rPr>
                <w:b/>
                <w:sz w:val="18"/>
                <w:szCs w:val="24"/>
              </w:rPr>
            </w:pPr>
            <w:r w:rsidRPr="004B001E">
              <w:rPr>
                <w:b/>
                <w:szCs w:val="24"/>
              </w:rPr>
              <w:t xml:space="preserve">SPECYFIKACJA TECHNICZNA WYKONANIA I ODBIORU ROBÓT </w:t>
            </w:r>
          </w:p>
        </w:tc>
      </w:tr>
      <w:tr w:rsidR="00EC483F" w:rsidRPr="0098608F" w14:paraId="099FFED3" w14:textId="77777777" w:rsidTr="00EC483F">
        <w:trPr>
          <w:gridAfter w:val="1"/>
          <w:wAfter w:w="561" w:type="dxa"/>
          <w:trHeight w:val="136"/>
        </w:trPr>
        <w:tc>
          <w:tcPr>
            <w:tcW w:w="9112" w:type="dxa"/>
            <w:gridSpan w:val="6"/>
            <w:tcBorders>
              <w:top w:val="nil"/>
              <w:left w:val="nil"/>
              <w:bottom w:val="single" w:sz="4" w:space="0" w:color="auto"/>
              <w:right w:val="nil"/>
            </w:tcBorders>
            <w:vAlign w:val="center"/>
          </w:tcPr>
          <w:p w14:paraId="51AD8A50" w14:textId="77777777" w:rsidR="00EC483F" w:rsidRPr="005E26E8" w:rsidRDefault="00EC483F" w:rsidP="006A014E">
            <w:pPr>
              <w:jc w:val="center"/>
              <w:rPr>
                <w:sz w:val="6"/>
                <w:szCs w:val="6"/>
              </w:rPr>
            </w:pPr>
          </w:p>
        </w:tc>
      </w:tr>
      <w:tr w:rsidR="00EC483F" w:rsidRPr="0098608F" w14:paraId="3E45329C" w14:textId="77777777" w:rsidTr="00EC483F">
        <w:trPr>
          <w:gridAfter w:val="1"/>
          <w:wAfter w:w="561" w:type="dxa"/>
          <w:trHeight w:val="170"/>
        </w:trPr>
        <w:tc>
          <w:tcPr>
            <w:tcW w:w="9112" w:type="dxa"/>
            <w:gridSpan w:val="6"/>
            <w:tcBorders>
              <w:top w:val="single" w:sz="4" w:space="0" w:color="auto"/>
              <w:left w:val="nil"/>
              <w:bottom w:val="nil"/>
              <w:right w:val="nil"/>
            </w:tcBorders>
            <w:shd w:val="pct25" w:color="auto" w:fill="auto"/>
          </w:tcPr>
          <w:p w14:paraId="59FF9D5F" w14:textId="77777777" w:rsidR="00EC483F" w:rsidRPr="003E556E" w:rsidRDefault="00EC483F" w:rsidP="006A014E">
            <w:pPr>
              <w:rPr>
                <w:b/>
                <w:sz w:val="16"/>
                <w:szCs w:val="16"/>
              </w:rPr>
            </w:pPr>
            <w:r w:rsidRPr="003E556E">
              <w:rPr>
                <w:b/>
                <w:sz w:val="16"/>
                <w:szCs w:val="16"/>
              </w:rPr>
              <w:t xml:space="preserve">ZESPÓŁ </w:t>
            </w:r>
          </w:p>
        </w:tc>
      </w:tr>
      <w:tr w:rsidR="00EC483F" w:rsidRPr="0098608F" w14:paraId="02417FF5" w14:textId="77777777" w:rsidTr="00EC483F">
        <w:trPr>
          <w:gridAfter w:val="1"/>
          <w:wAfter w:w="561" w:type="dxa"/>
          <w:trHeight w:hRule="exact" w:val="826"/>
        </w:trPr>
        <w:tc>
          <w:tcPr>
            <w:tcW w:w="4536" w:type="dxa"/>
            <w:gridSpan w:val="2"/>
            <w:tcBorders>
              <w:top w:val="nil"/>
              <w:left w:val="nil"/>
              <w:right w:val="nil"/>
            </w:tcBorders>
            <w:vAlign w:val="center"/>
          </w:tcPr>
          <w:p w14:paraId="7FB35020" w14:textId="77777777" w:rsidR="00EC483F" w:rsidRPr="00356E0D" w:rsidRDefault="00EC483F" w:rsidP="006A014E">
            <w:pPr>
              <w:spacing w:line="276" w:lineRule="auto"/>
              <w:rPr>
                <w:sz w:val="14"/>
                <w:szCs w:val="16"/>
              </w:rPr>
            </w:pPr>
            <w:r>
              <w:rPr>
                <w:sz w:val="14"/>
                <w:szCs w:val="16"/>
              </w:rPr>
              <w:t>OPRACOWAŁ</w:t>
            </w:r>
          </w:p>
          <w:p w14:paraId="1D15EA71" w14:textId="77777777" w:rsidR="00EC483F" w:rsidRPr="00F07F44" w:rsidRDefault="00EC483F" w:rsidP="006A014E">
            <w:pPr>
              <w:ind w:right="-1951"/>
              <w:rPr>
                <w:rFonts w:ascii="Calibri Light" w:hAnsi="Calibri Light"/>
                <w:b/>
                <w:bCs/>
                <w:i/>
              </w:rPr>
            </w:pPr>
            <w:r w:rsidRPr="00F07F44">
              <w:rPr>
                <w:rFonts w:ascii="Calibri Light" w:hAnsi="Calibri Light"/>
                <w:b/>
                <w:bCs/>
                <w:i/>
              </w:rPr>
              <w:t>mgr inż. Maciej Partyka</w:t>
            </w:r>
          </w:p>
          <w:p w14:paraId="6CCFAC9E" w14:textId="77777777" w:rsidR="00EC483F" w:rsidRPr="009F02A5" w:rsidRDefault="00EC483F" w:rsidP="006A014E">
            <w:pPr>
              <w:ind w:right="-1809"/>
              <w:rPr>
                <w:rFonts w:ascii="Calibri Light" w:hAnsi="Calibri Light"/>
                <w:i/>
                <w:sz w:val="14"/>
                <w:szCs w:val="12"/>
              </w:rPr>
            </w:pPr>
            <w:r w:rsidRPr="009F02A5">
              <w:rPr>
                <w:rFonts w:ascii="Calibri Light" w:hAnsi="Calibri Light"/>
                <w:i/>
                <w:sz w:val="14"/>
                <w:szCs w:val="12"/>
              </w:rPr>
              <w:t>uprawnienia do projektowania bez ograniczeń w specjalności instalacyjnej w zakresie sieci, instalacji i urządzeń elektrycznych i elektroenergetycznych</w:t>
            </w:r>
            <w:r>
              <w:rPr>
                <w:rFonts w:ascii="Calibri Light" w:hAnsi="Calibri Light"/>
                <w:i/>
                <w:sz w:val="14"/>
                <w:szCs w:val="12"/>
              </w:rPr>
              <w:t xml:space="preserve"> </w:t>
            </w:r>
            <w:r w:rsidRPr="009F02A5">
              <w:rPr>
                <w:rFonts w:ascii="Calibri Light" w:hAnsi="Calibri Light"/>
                <w:i/>
                <w:sz w:val="14"/>
                <w:szCs w:val="12"/>
              </w:rPr>
              <w:t>nr KUP/0126/PBE/19</w:t>
            </w:r>
          </w:p>
          <w:p w14:paraId="761E12BF" w14:textId="77777777" w:rsidR="00EC483F" w:rsidRPr="00C43431" w:rsidRDefault="00EC483F" w:rsidP="006A014E">
            <w:pPr>
              <w:rPr>
                <w:sz w:val="16"/>
                <w:szCs w:val="16"/>
              </w:rPr>
            </w:pPr>
            <w:r w:rsidRPr="009F02A5">
              <w:rPr>
                <w:rFonts w:ascii="Calibri Light" w:hAnsi="Calibri Light"/>
                <w:i/>
                <w:sz w:val="14"/>
                <w:szCs w:val="12"/>
              </w:rPr>
              <w:t>nr KUP/0126/PBE/19</w:t>
            </w:r>
          </w:p>
        </w:tc>
        <w:tc>
          <w:tcPr>
            <w:tcW w:w="4576" w:type="dxa"/>
            <w:gridSpan w:val="4"/>
            <w:tcBorders>
              <w:top w:val="nil"/>
              <w:left w:val="nil"/>
              <w:right w:val="nil"/>
            </w:tcBorders>
          </w:tcPr>
          <w:p w14:paraId="7AC21235" w14:textId="77777777" w:rsidR="00EC483F" w:rsidRPr="00C43431" w:rsidRDefault="00EC483F" w:rsidP="006A014E">
            <w:pPr>
              <w:ind w:left="885" w:hanging="284"/>
              <w:rPr>
                <w:szCs w:val="28"/>
              </w:rPr>
            </w:pPr>
          </w:p>
        </w:tc>
      </w:tr>
      <w:tr w:rsidR="00EC483F" w:rsidRPr="0098608F" w14:paraId="0E1A80F8" w14:textId="77777777" w:rsidTr="00EC483F">
        <w:trPr>
          <w:gridAfter w:val="1"/>
          <w:wAfter w:w="561" w:type="dxa"/>
          <w:trHeight w:hRule="exact" w:val="1391"/>
        </w:trPr>
        <w:tc>
          <w:tcPr>
            <w:tcW w:w="4536" w:type="dxa"/>
            <w:gridSpan w:val="2"/>
            <w:tcBorders>
              <w:top w:val="single" w:sz="6" w:space="0" w:color="808080"/>
              <w:left w:val="nil"/>
              <w:right w:val="nil"/>
            </w:tcBorders>
            <w:vAlign w:val="center"/>
          </w:tcPr>
          <w:p w14:paraId="25D6817E" w14:textId="77777777" w:rsidR="00EC483F" w:rsidRPr="00356E0D" w:rsidRDefault="00EC483F" w:rsidP="006A014E">
            <w:pPr>
              <w:spacing w:line="276" w:lineRule="auto"/>
              <w:rPr>
                <w:sz w:val="14"/>
                <w:szCs w:val="16"/>
              </w:rPr>
            </w:pPr>
            <w:r w:rsidRPr="00356E0D">
              <w:rPr>
                <w:sz w:val="14"/>
                <w:szCs w:val="16"/>
              </w:rPr>
              <w:t>SPRAWDZAJĄCY</w:t>
            </w:r>
          </w:p>
          <w:p w14:paraId="31328E0D" w14:textId="77777777" w:rsidR="00EC483F" w:rsidRPr="00F07F44" w:rsidRDefault="00EC483F" w:rsidP="006A014E">
            <w:pPr>
              <w:rPr>
                <w:rFonts w:ascii="Calibri Light" w:hAnsi="Calibri Light"/>
                <w:b/>
                <w:bCs/>
                <w:i/>
              </w:rPr>
            </w:pPr>
            <w:r w:rsidRPr="00F07F44">
              <w:rPr>
                <w:rFonts w:ascii="Calibri Light" w:hAnsi="Calibri Light"/>
                <w:b/>
                <w:bCs/>
                <w:i/>
              </w:rPr>
              <w:t xml:space="preserve">inż. </w:t>
            </w:r>
            <w:r>
              <w:rPr>
                <w:rFonts w:ascii="Calibri Light" w:hAnsi="Calibri Light"/>
                <w:b/>
                <w:bCs/>
                <w:i/>
              </w:rPr>
              <w:t>Aleksander Michalski</w:t>
            </w:r>
          </w:p>
          <w:p w14:paraId="7B8059F1" w14:textId="77777777" w:rsidR="00EC483F" w:rsidRPr="009F02A5" w:rsidRDefault="00EC483F" w:rsidP="006A014E">
            <w:pPr>
              <w:ind w:right="-675"/>
              <w:rPr>
                <w:rFonts w:ascii="Calibri Light" w:hAnsi="Calibri Light"/>
                <w:i/>
                <w:sz w:val="14"/>
                <w:szCs w:val="12"/>
              </w:rPr>
            </w:pPr>
            <w:r w:rsidRPr="009F02A5">
              <w:rPr>
                <w:rFonts w:ascii="Calibri Light" w:hAnsi="Calibri Light"/>
                <w:i/>
                <w:sz w:val="14"/>
                <w:szCs w:val="12"/>
              </w:rPr>
              <w:t>uprawnienia do projektowania bez ograniczeń w specjalności instalacyjnej w zakresie sieci, instalacji i urządzeń elektrycznych i elektroenergetycznych</w:t>
            </w:r>
            <w:r>
              <w:rPr>
                <w:rFonts w:ascii="Calibri Light" w:hAnsi="Calibri Light"/>
                <w:i/>
                <w:sz w:val="14"/>
                <w:szCs w:val="12"/>
              </w:rPr>
              <w:t xml:space="preserve"> </w:t>
            </w:r>
            <w:r w:rsidRPr="00531E15">
              <w:rPr>
                <w:rFonts w:ascii="Calibri Light" w:hAnsi="Calibri Light"/>
                <w:i/>
                <w:sz w:val="14"/>
                <w:szCs w:val="12"/>
              </w:rPr>
              <w:t>KI-II-7342-97/98</w:t>
            </w:r>
          </w:p>
          <w:p w14:paraId="06076EDC" w14:textId="77777777" w:rsidR="00EC483F" w:rsidRPr="00C43431" w:rsidRDefault="00EC483F" w:rsidP="006A014E">
            <w:pPr>
              <w:spacing w:line="276" w:lineRule="auto"/>
              <w:rPr>
                <w:sz w:val="16"/>
                <w:szCs w:val="16"/>
              </w:rPr>
            </w:pPr>
          </w:p>
        </w:tc>
        <w:tc>
          <w:tcPr>
            <w:tcW w:w="4576" w:type="dxa"/>
            <w:gridSpan w:val="4"/>
            <w:tcBorders>
              <w:top w:val="single" w:sz="6" w:space="0" w:color="808080"/>
              <w:left w:val="nil"/>
              <w:right w:val="nil"/>
            </w:tcBorders>
          </w:tcPr>
          <w:p w14:paraId="6634AE95" w14:textId="77777777" w:rsidR="00EC483F" w:rsidRPr="00C43431" w:rsidRDefault="00EC483F" w:rsidP="006A014E">
            <w:pPr>
              <w:ind w:left="1452" w:firstLine="1452"/>
              <w:rPr>
                <w:szCs w:val="28"/>
              </w:rPr>
            </w:pPr>
          </w:p>
        </w:tc>
      </w:tr>
      <w:tr w:rsidR="00EC483F" w:rsidRPr="0098608F" w14:paraId="4C7B230E" w14:textId="77777777" w:rsidTr="00EC483F">
        <w:trPr>
          <w:gridAfter w:val="1"/>
          <w:wAfter w:w="561" w:type="dxa"/>
          <w:trHeight w:val="170"/>
        </w:trPr>
        <w:tc>
          <w:tcPr>
            <w:tcW w:w="9112" w:type="dxa"/>
            <w:gridSpan w:val="6"/>
            <w:tcBorders>
              <w:top w:val="single" w:sz="4" w:space="0" w:color="auto"/>
              <w:left w:val="nil"/>
              <w:bottom w:val="nil"/>
              <w:right w:val="nil"/>
            </w:tcBorders>
            <w:shd w:val="pct25" w:color="auto" w:fill="auto"/>
          </w:tcPr>
          <w:p w14:paraId="00BC2243" w14:textId="77777777" w:rsidR="00EC483F" w:rsidRPr="003E556E" w:rsidRDefault="00EC483F" w:rsidP="006A014E">
            <w:pPr>
              <w:rPr>
                <w:b/>
                <w:sz w:val="16"/>
                <w:szCs w:val="16"/>
              </w:rPr>
            </w:pPr>
            <w:r w:rsidRPr="003E556E">
              <w:rPr>
                <w:b/>
                <w:sz w:val="16"/>
                <w:szCs w:val="16"/>
              </w:rPr>
              <w:t>IDENTYFIKACJA DOKUMENTACJI</w:t>
            </w:r>
          </w:p>
        </w:tc>
      </w:tr>
      <w:tr w:rsidR="00EC483F" w:rsidRPr="0098608F" w14:paraId="550D312C" w14:textId="77777777" w:rsidTr="00EC483F">
        <w:trPr>
          <w:gridAfter w:val="1"/>
          <w:wAfter w:w="561" w:type="dxa"/>
          <w:trHeight w:val="170"/>
        </w:trPr>
        <w:tc>
          <w:tcPr>
            <w:tcW w:w="3056" w:type="dxa"/>
            <w:tcBorders>
              <w:top w:val="nil"/>
              <w:left w:val="nil"/>
              <w:bottom w:val="nil"/>
              <w:right w:val="nil"/>
            </w:tcBorders>
          </w:tcPr>
          <w:p w14:paraId="2AFCAB34" w14:textId="77777777" w:rsidR="00EC483F" w:rsidRPr="00C43431" w:rsidRDefault="00EC483F" w:rsidP="006A014E">
            <w:pPr>
              <w:rPr>
                <w:sz w:val="16"/>
                <w:szCs w:val="16"/>
              </w:rPr>
            </w:pPr>
          </w:p>
        </w:tc>
        <w:tc>
          <w:tcPr>
            <w:tcW w:w="3363" w:type="dxa"/>
            <w:gridSpan w:val="3"/>
            <w:tcBorders>
              <w:top w:val="nil"/>
              <w:left w:val="nil"/>
              <w:bottom w:val="nil"/>
              <w:right w:val="nil"/>
            </w:tcBorders>
            <w:vAlign w:val="center"/>
          </w:tcPr>
          <w:p w14:paraId="256EF08D" w14:textId="77777777" w:rsidR="00EC483F" w:rsidRDefault="00EC483F" w:rsidP="004B001E">
            <w:pPr>
              <w:ind w:left="0" w:firstLine="0"/>
              <w:rPr>
                <w:sz w:val="16"/>
                <w:szCs w:val="16"/>
              </w:rPr>
            </w:pPr>
          </w:p>
          <w:p w14:paraId="2C0F11E3" w14:textId="77777777" w:rsidR="00EC483F" w:rsidRPr="00C43431" w:rsidRDefault="00EC483F" w:rsidP="006A014E">
            <w:pPr>
              <w:jc w:val="center"/>
              <w:rPr>
                <w:sz w:val="16"/>
                <w:szCs w:val="16"/>
              </w:rPr>
            </w:pPr>
            <w:r w:rsidRPr="00C43431">
              <w:rPr>
                <w:sz w:val="16"/>
                <w:szCs w:val="16"/>
              </w:rPr>
              <w:t>DATA OPRACOWANIA</w:t>
            </w:r>
          </w:p>
        </w:tc>
        <w:tc>
          <w:tcPr>
            <w:tcW w:w="2693" w:type="dxa"/>
            <w:gridSpan w:val="2"/>
            <w:tcBorders>
              <w:top w:val="nil"/>
              <w:left w:val="nil"/>
              <w:bottom w:val="nil"/>
              <w:right w:val="nil"/>
            </w:tcBorders>
            <w:vAlign w:val="center"/>
          </w:tcPr>
          <w:p w14:paraId="592E01F0" w14:textId="77777777" w:rsidR="00EC483F" w:rsidRPr="00C43431" w:rsidRDefault="00EC483F" w:rsidP="006A014E">
            <w:pPr>
              <w:jc w:val="right"/>
              <w:rPr>
                <w:sz w:val="16"/>
                <w:szCs w:val="16"/>
              </w:rPr>
            </w:pPr>
          </w:p>
        </w:tc>
      </w:tr>
      <w:tr w:rsidR="00EC483F" w:rsidRPr="005E26E8" w14:paraId="6061E8C8" w14:textId="77777777" w:rsidTr="00EC483F">
        <w:trPr>
          <w:gridAfter w:val="1"/>
          <w:wAfter w:w="561" w:type="dxa"/>
          <w:trHeight w:val="491"/>
        </w:trPr>
        <w:tc>
          <w:tcPr>
            <w:tcW w:w="3056" w:type="dxa"/>
            <w:tcBorders>
              <w:top w:val="nil"/>
              <w:left w:val="nil"/>
              <w:bottom w:val="nil"/>
              <w:right w:val="nil"/>
            </w:tcBorders>
            <w:vAlign w:val="center"/>
          </w:tcPr>
          <w:p w14:paraId="76244EC8" w14:textId="77777777" w:rsidR="00EC483F" w:rsidRPr="00621D8E" w:rsidRDefault="00EC483F" w:rsidP="006A014E">
            <w:pPr>
              <w:pStyle w:val="Stopka"/>
              <w:rPr>
                <w:rFonts w:ascii="Klavika Basic Regular" w:hAnsi="Klavika Basic Regular"/>
                <w:szCs w:val="24"/>
              </w:rPr>
            </w:pPr>
          </w:p>
        </w:tc>
        <w:tc>
          <w:tcPr>
            <w:tcW w:w="3363" w:type="dxa"/>
            <w:gridSpan w:val="3"/>
            <w:tcBorders>
              <w:top w:val="nil"/>
              <w:left w:val="nil"/>
              <w:bottom w:val="nil"/>
              <w:right w:val="nil"/>
            </w:tcBorders>
            <w:vAlign w:val="center"/>
          </w:tcPr>
          <w:p w14:paraId="69EF3AC7" w14:textId="77777777" w:rsidR="00EC483F" w:rsidRPr="00C3377B" w:rsidRDefault="00EC483F" w:rsidP="006A014E">
            <w:pPr>
              <w:jc w:val="center"/>
              <w:rPr>
                <w:szCs w:val="24"/>
              </w:rPr>
            </w:pPr>
            <w:r>
              <w:rPr>
                <w:szCs w:val="24"/>
              </w:rPr>
              <w:t>Bydgoszcz</w:t>
            </w:r>
            <w:r w:rsidRPr="00C3377B">
              <w:rPr>
                <w:szCs w:val="24"/>
              </w:rPr>
              <w:t xml:space="preserve">, </w:t>
            </w:r>
            <w:r>
              <w:rPr>
                <w:szCs w:val="24"/>
              </w:rPr>
              <w:t xml:space="preserve">maj </w:t>
            </w:r>
            <w:r w:rsidRPr="00C3377B">
              <w:rPr>
                <w:szCs w:val="24"/>
              </w:rPr>
              <w:t>20</w:t>
            </w:r>
            <w:r>
              <w:rPr>
                <w:szCs w:val="24"/>
              </w:rPr>
              <w:t>23</w:t>
            </w:r>
            <w:r w:rsidRPr="00C3377B">
              <w:rPr>
                <w:szCs w:val="24"/>
              </w:rPr>
              <w:t xml:space="preserve"> r.</w:t>
            </w:r>
          </w:p>
        </w:tc>
        <w:tc>
          <w:tcPr>
            <w:tcW w:w="2693" w:type="dxa"/>
            <w:gridSpan w:val="2"/>
            <w:tcBorders>
              <w:top w:val="nil"/>
              <w:left w:val="nil"/>
              <w:bottom w:val="nil"/>
              <w:right w:val="nil"/>
            </w:tcBorders>
            <w:vAlign w:val="center"/>
          </w:tcPr>
          <w:p w14:paraId="19AEC255" w14:textId="77777777" w:rsidR="00EC483F" w:rsidRPr="00C775D6" w:rsidRDefault="00EC483F" w:rsidP="006A014E">
            <w:pPr>
              <w:jc w:val="right"/>
              <w:rPr>
                <w:color w:val="FF0000"/>
                <w:szCs w:val="24"/>
              </w:rPr>
            </w:pPr>
            <w:r w:rsidRPr="00C775D6">
              <w:rPr>
                <w:color w:val="FF0000"/>
                <w:szCs w:val="24"/>
              </w:rPr>
              <w:t xml:space="preserve">  </w:t>
            </w:r>
          </w:p>
        </w:tc>
      </w:tr>
    </w:tbl>
    <w:p w14:paraId="78D748BF" w14:textId="77777777" w:rsidR="00EC483F" w:rsidRPr="00022131" w:rsidRDefault="00EC483F" w:rsidP="002C59FC">
      <w:pPr>
        <w:spacing w:after="0" w:line="259" w:lineRule="auto"/>
        <w:ind w:left="0" w:firstLine="0"/>
        <w:jc w:val="left"/>
      </w:pPr>
      <w:bookmarkStart w:id="0" w:name="_Hlk110681052"/>
      <w:bookmarkStart w:id="1" w:name="_Hlk109198921"/>
      <w:bookmarkEnd w:id="0"/>
    </w:p>
    <w:p w14:paraId="3338EBE0" w14:textId="77777777" w:rsidR="00D33D22" w:rsidRPr="00022131" w:rsidRDefault="002540D1">
      <w:pPr>
        <w:spacing w:after="0"/>
        <w:ind w:left="-5" w:right="153"/>
        <w:jc w:val="left"/>
      </w:pPr>
      <w:r w:rsidRPr="00022131">
        <w:rPr>
          <w:b/>
        </w:rPr>
        <w:t xml:space="preserve">SPIS TREŚCI </w:t>
      </w:r>
    </w:p>
    <w:p w14:paraId="29BDC306" w14:textId="77777777" w:rsidR="00D33D22" w:rsidRPr="00022131" w:rsidRDefault="002540D1">
      <w:pPr>
        <w:spacing w:after="32" w:line="259" w:lineRule="auto"/>
        <w:ind w:left="0" w:firstLine="0"/>
        <w:jc w:val="left"/>
      </w:pPr>
      <w:r w:rsidRPr="00022131">
        <w:t xml:space="preserve"> </w:t>
      </w:r>
    </w:p>
    <w:sdt>
      <w:sdtPr>
        <w:rPr>
          <w:b w:val="0"/>
        </w:rPr>
        <w:id w:val="844912255"/>
        <w:docPartObj>
          <w:docPartGallery w:val="Table of Contents"/>
        </w:docPartObj>
      </w:sdtPr>
      <w:sdtContent>
        <w:p w14:paraId="19E6F314" w14:textId="273E680C" w:rsidR="004B001E" w:rsidRDefault="002540D1">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r w:rsidRPr="00022131">
            <w:fldChar w:fldCharType="begin"/>
          </w:r>
          <w:r w:rsidRPr="00022131">
            <w:instrText xml:space="preserve"> TOC \o "1-3" \h \z \u </w:instrText>
          </w:r>
          <w:r w:rsidRPr="00022131">
            <w:fldChar w:fldCharType="separate"/>
          </w:r>
          <w:hyperlink w:anchor="_Toc139618005" w:history="1">
            <w:r w:rsidR="004B001E" w:rsidRPr="002C5F3B">
              <w:rPr>
                <w:rStyle w:val="Hipercze"/>
                <w:bCs/>
                <w:noProof/>
              </w:rPr>
              <w:t>1.</w:t>
            </w:r>
            <w:r w:rsidR="004B001E">
              <w:rPr>
                <w:rFonts w:asciiTheme="minorHAnsi" w:eastAsiaTheme="minorEastAsia" w:hAnsiTheme="minorHAnsi" w:cstheme="minorBidi"/>
                <w:b w:val="0"/>
                <w:noProof/>
                <w:color w:val="auto"/>
                <w:kern w:val="2"/>
                <w:sz w:val="22"/>
                <w14:ligatures w14:val="standardContextual"/>
              </w:rPr>
              <w:tab/>
            </w:r>
            <w:r w:rsidR="004B001E" w:rsidRPr="002C5F3B">
              <w:rPr>
                <w:rStyle w:val="Hipercze"/>
                <w:noProof/>
              </w:rPr>
              <w:t>WSTĘP</w:t>
            </w:r>
            <w:r w:rsidR="004B001E">
              <w:rPr>
                <w:noProof/>
                <w:webHidden/>
              </w:rPr>
              <w:tab/>
            </w:r>
            <w:r w:rsidR="004B001E">
              <w:rPr>
                <w:noProof/>
                <w:webHidden/>
              </w:rPr>
              <w:fldChar w:fldCharType="begin"/>
            </w:r>
            <w:r w:rsidR="004B001E">
              <w:rPr>
                <w:noProof/>
                <w:webHidden/>
              </w:rPr>
              <w:instrText xml:space="preserve"> PAGEREF _Toc139618005 \h </w:instrText>
            </w:r>
            <w:r w:rsidR="004B001E">
              <w:rPr>
                <w:noProof/>
                <w:webHidden/>
              </w:rPr>
            </w:r>
            <w:r w:rsidR="004B001E">
              <w:rPr>
                <w:noProof/>
                <w:webHidden/>
              </w:rPr>
              <w:fldChar w:fldCharType="separate"/>
            </w:r>
            <w:r w:rsidR="00A8526A">
              <w:rPr>
                <w:noProof/>
                <w:webHidden/>
              </w:rPr>
              <w:t>3</w:t>
            </w:r>
            <w:r w:rsidR="004B001E">
              <w:rPr>
                <w:noProof/>
                <w:webHidden/>
              </w:rPr>
              <w:fldChar w:fldCharType="end"/>
            </w:r>
          </w:hyperlink>
        </w:p>
        <w:p w14:paraId="4C0810AB" w14:textId="68771C91"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06" w:history="1">
            <w:r w:rsidRPr="002C5F3B">
              <w:rPr>
                <w:rStyle w:val="Hipercze"/>
                <w:bCs/>
                <w:noProof/>
              </w:rPr>
              <w:t>1.1.</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Nazwa zamówienia</w:t>
            </w:r>
            <w:r>
              <w:rPr>
                <w:noProof/>
                <w:webHidden/>
              </w:rPr>
              <w:tab/>
            </w:r>
            <w:r>
              <w:rPr>
                <w:noProof/>
                <w:webHidden/>
              </w:rPr>
              <w:fldChar w:fldCharType="begin"/>
            </w:r>
            <w:r>
              <w:rPr>
                <w:noProof/>
                <w:webHidden/>
              </w:rPr>
              <w:instrText xml:space="preserve"> PAGEREF _Toc139618006 \h </w:instrText>
            </w:r>
            <w:r>
              <w:rPr>
                <w:noProof/>
                <w:webHidden/>
              </w:rPr>
            </w:r>
            <w:r>
              <w:rPr>
                <w:noProof/>
                <w:webHidden/>
              </w:rPr>
              <w:fldChar w:fldCharType="separate"/>
            </w:r>
            <w:r w:rsidR="00A8526A">
              <w:rPr>
                <w:noProof/>
                <w:webHidden/>
              </w:rPr>
              <w:t>3</w:t>
            </w:r>
            <w:r>
              <w:rPr>
                <w:noProof/>
                <w:webHidden/>
              </w:rPr>
              <w:fldChar w:fldCharType="end"/>
            </w:r>
          </w:hyperlink>
        </w:p>
        <w:p w14:paraId="6C74581F" w14:textId="748E1A74"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07" w:history="1">
            <w:r w:rsidRPr="002C5F3B">
              <w:rPr>
                <w:rStyle w:val="Hipercze"/>
                <w:bCs/>
                <w:noProof/>
              </w:rPr>
              <w:t>1.2.</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Zakres stosowania ST</w:t>
            </w:r>
            <w:r>
              <w:rPr>
                <w:noProof/>
                <w:webHidden/>
              </w:rPr>
              <w:tab/>
            </w:r>
            <w:r>
              <w:rPr>
                <w:noProof/>
                <w:webHidden/>
              </w:rPr>
              <w:fldChar w:fldCharType="begin"/>
            </w:r>
            <w:r>
              <w:rPr>
                <w:noProof/>
                <w:webHidden/>
              </w:rPr>
              <w:instrText xml:space="preserve"> PAGEREF _Toc139618007 \h </w:instrText>
            </w:r>
            <w:r>
              <w:rPr>
                <w:noProof/>
                <w:webHidden/>
              </w:rPr>
            </w:r>
            <w:r>
              <w:rPr>
                <w:noProof/>
                <w:webHidden/>
              </w:rPr>
              <w:fldChar w:fldCharType="separate"/>
            </w:r>
            <w:r w:rsidR="00A8526A">
              <w:rPr>
                <w:noProof/>
                <w:webHidden/>
              </w:rPr>
              <w:t>3</w:t>
            </w:r>
            <w:r>
              <w:rPr>
                <w:noProof/>
                <w:webHidden/>
              </w:rPr>
              <w:fldChar w:fldCharType="end"/>
            </w:r>
          </w:hyperlink>
        </w:p>
        <w:p w14:paraId="46657B99" w14:textId="4B069F32"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08" w:history="1">
            <w:r w:rsidRPr="002C5F3B">
              <w:rPr>
                <w:rStyle w:val="Hipercze"/>
                <w:bCs/>
                <w:noProof/>
              </w:rPr>
              <w:t>1.3.</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Zakres robót objętych ST</w:t>
            </w:r>
            <w:r>
              <w:rPr>
                <w:noProof/>
                <w:webHidden/>
              </w:rPr>
              <w:tab/>
            </w:r>
            <w:r>
              <w:rPr>
                <w:noProof/>
                <w:webHidden/>
              </w:rPr>
              <w:fldChar w:fldCharType="begin"/>
            </w:r>
            <w:r>
              <w:rPr>
                <w:noProof/>
                <w:webHidden/>
              </w:rPr>
              <w:instrText xml:space="preserve"> PAGEREF _Toc139618008 \h </w:instrText>
            </w:r>
            <w:r>
              <w:rPr>
                <w:noProof/>
                <w:webHidden/>
              </w:rPr>
            </w:r>
            <w:r>
              <w:rPr>
                <w:noProof/>
                <w:webHidden/>
              </w:rPr>
              <w:fldChar w:fldCharType="separate"/>
            </w:r>
            <w:r w:rsidR="00A8526A">
              <w:rPr>
                <w:noProof/>
                <w:webHidden/>
              </w:rPr>
              <w:t>3</w:t>
            </w:r>
            <w:r>
              <w:rPr>
                <w:noProof/>
                <w:webHidden/>
              </w:rPr>
              <w:fldChar w:fldCharType="end"/>
            </w:r>
          </w:hyperlink>
        </w:p>
        <w:p w14:paraId="3E436A6F" w14:textId="625BEF71"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09" w:history="1">
            <w:r w:rsidRPr="002C5F3B">
              <w:rPr>
                <w:rStyle w:val="Hipercze"/>
                <w:bCs/>
                <w:noProof/>
              </w:rPr>
              <w:t>1.4.</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Określenia podstawowe, definicje</w:t>
            </w:r>
            <w:r>
              <w:rPr>
                <w:noProof/>
                <w:webHidden/>
              </w:rPr>
              <w:tab/>
            </w:r>
            <w:r>
              <w:rPr>
                <w:noProof/>
                <w:webHidden/>
              </w:rPr>
              <w:fldChar w:fldCharType="begin"/>
            </w:r>
            <w:r>
              <w:rPr>
                <w:noProof/>
                <w:webHidden/>
              </w:rPr>
              <w:instrText xml:space="preserve"> PAGEREF _Toc139618009 \h </w:instrText>
            </w:r>
            <w:r>
              <w:rPr>
                <w:noProof/>
                <w:webHidden/>
              </w:rPr>
            </w:r>
            <w:r>
              <w:rPr>
                <w:noProof/>
                <w:webHidden/>
              </w:rPr>
              <w:fldChar w:fldCharType="separate"/>
            </w:r>
            <w:r w:rsidR="00A8526A">
              <w:rPr>
                <w:noProof/>
                <w:webHidden/>
              </w:rPr>
              <w:t>3</w:t>
            </w:r>
            <w:r>
              <w:rPr>
                <w:noProof/>
                <w:webHidden/>
              </w:rPr>
              <w:fldChar w:fldCharType="end"/>
            </w:r>
          </w:hyperlink>
        </w:p>
        <w:p w14:paraId="3B56F399" w14:textId="4B272D71"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0" w:history="1">
            <w:r w:rsidRPr="002C5F3B">
              <w:rPr>
                <w:rStyle w:val="Hipercze"/>
                <w:bCs/>
                <w:noProof/>
              </w:rPr>
              <w:t>1.5.</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Ogólne wymagania dotyczące robót</w:t>
            </w:r>
            <w:r>
              <w:rPr>
                <w:noProof/>
                <w:webHidden/>
              </w:rPr>
              <w:tab/>
            </w:r>
            <w:r>
              <w:rPr>
                <w:noProof/>
                <w:webHidden/>
              </w:rPr>
              <w:fldChar w:fldCharType="begin"/>
            </w:r>
            <w:r>
              <w:rPr>
                <w:noProof/>
                <w:webHidden/>
              </w:rPr>
              <w:instrText xml:space="preserve"> PAGEREF _Toc139618010 \h </w:instrText>
            </w:r>
            <w:r>
              <w:rPr>
                <w:noProof/>
                <w:webHidden/>
              </w:rPr>
            </w:r>
            <w:r>
              <w:rPr>
                <w:noProof/>
                <w:webHidden/>
              </w:rPr>
              <w:fldChar w:fldCharType="separate"/>
            </w:r>
            <w:r w:rsidR="00A8526A">
              <w:rPr>
                <w:noProof/>
                <w:webHidden/>
              </w:rPr>
              <w:t>5</w:t>
            </w:r>
            <w:r>
              <w:rPr>
                <w:noProof/>
                <w:webHidden/>
              </w:rPr>
              <w:fldChar w:fldCharType="end"/>
            </w:r>
          </w:hyperlink>
        </w:p>
        <w:p w14:paraId="11CC152B" w14:textId="5F6193E1"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1" w:history="1">
            <w:r w:rsidRPr="002C5F3B">
              <w:rPr>
                <w:rStyle w:val="Hipercze"/>
                <w:bCs/>
                <w:noProof/>
              </w:rPr>
              <w:t>2.</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WYMAGANIA DOTYCZĄCE WŁAŚCIWOŚCI MATERIAŁÓW</w:t>
            </w:r>
            <w:r>
              <w:rPr>
                <w:noProof/>
                <w:webHidden/>
              </w:rPr>
              <w:tab/>
            </w:r>
            <w:r>
              <w:rPr>
                <w:noProof/>
                <w:webHidden/>
              </w:rPr>
              <w:fldChar w:fldCharType="begin"/>
            </w:r>
            <w:r>
              <w:rPr>
                <w:noProof/>
                <w:webHidden/>
              </w:rPr>
              <w:instrText xml:space="preserve"> PAGEREF _Toc139618011 \h </w:instrText>
            </w:r>
            <w:r>
              <w:rPr>
                <w:noProof/>
                <w:webHidden/>
              </w:rPr>
            </w:r>
            <w:r>
              <w:rPr>
                <w:noProof/>
                <w:webHidden/>
              </w:rPr>
              <w:fldChar w:fldCharType="separate"/>
            </w:r>
            <w:r w:rsidR="00A8526A">
              <w:rPr>
                <w:noProof/>
                <w:webHidden/>
              </w:rPr>
              <w:t>6</w:t>
            </w:r>
            <w:r>
              <w:rPr>
                <w:noProof/>
                <w:webHidden/>
              </w:rPr>
              <w:fldChar w:fldCharType="end"/>
            </w:r>
          </w:hyperlink>
        </w:p>
        <w:p w14:paraId="5D54CB44" w14:textId="03E71BB1"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2" w:history="1">
            <w:r w:rsidRPr="002C5F3B">
              <w:rPr>
                <w:rStyle w:val="Hipercze"/>
                <w:bCs/>
                <w:noProof/>
              </w:rPr>
              <w:t>2.1.</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Rodzaje materiałów</w:t>
            </w:r>
            <w:r>
              <w:rPr>
                <w:noProof/>
                <w:webHidden/>
              </w:rPr>
              <w:tab/>
            </w:r>
            <w:r>
              <w:rPr>
                <w:noProof/>
                <w:webHidden/>
              </w:rPr>
              <w:fldChar w:fldCharType="begin"/>
            </w:r>
            <w:r>
              <w:rPr>
                <w:noProof/>
                <w:webHidden/>
              </w:rPr>
              <w:instrText xml:space="preserve"> PAGEREF _Toc139618012 \h </w:instrText>
            </w:r>
            <w:r>
              <w:rPr>
                <w:noProof/>
                <w:webHidden/>
              </w:rPr>
            </w:r>
            <w:r>
              <w:rPr>
                <w:noProof/>
                <w:webHidden/>
              </w:rPr>
              <w:fldChar w:fldCharType="separate"/>
            </w:r>
            <w:r w:rsidR="00A8526A">
              <w:rPr>
                <w:noProof/>
                <w:webHidden/>
              </w:rPr>
              <w:t>6</w:t>
            </w:r>
            <w:r>
              <w:rPr>
                <w:noProof/>
                <w:webHidden/>
              </w:rPr>
              <w:fldChar w:fldCharType="end"/>
            </w:r>
          </w:hyperlink>
        </w:p>
        <w:p w14:paraId="1906D5D5" w14:textId="2154742C" w:rsidR="004B001E" w:rsidRDefault="004B001E">
          <w:pPr>
            <w:pStyle w:val="Spistreci3"/>
            <w:tabs>
              <w:tab w:val="left" w:pos="132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3" w:history="1">
            <w:r w:rsidRPr="002C5F3B">
              <w:rPr>
                <w:rStyle w:val="Hipercze"/>
                <w:bCs/>
                <w:noProof/>
              </w:rPr>
              <w:t>2.1.1.</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Instalacja SSP</w:t>
            </w:r>
            <w:r>
              <w:rPr>
                <w:noProof/>
                <w:webHidden/>
              </w:rPr>
              <w:tab/>
            </w:r>
            <w:r>
              <w:rPr>
                <w:noProof/>
                <w:webHidden/>
              </w:rPr>
              <w:fldChar w:fldCharType="begin"/>
            </w:r>
            <w:r>
              <w:rPr>
                <w:noProof/>
                <w:webHidden/>
              </w:rPr>
              <w:instrText xml:space="preserve"> PAGEREF _Toc139618013 \h </w:instrText>
            </w:r>
            <w:r>
              <w:rPr>
                <w:noProof/>
                <w:webHidden/>
              </w:rPr>
            </w:r>
            <w:r>
              <w:rPr>
                <w:noProof/>
                <w:webHidden/>
              </w:rPr>
              <w:fldChar w:fldCharType="separate"/>
            </w:r>
            <w:r w:rsidR="00A8526A">
              <w:rPr>
                <w:noProof/>
                <w:webHidden/>
              </w:rPr>
              <w:t>6</w:t>
            </w:r>
            <w:r>
              <w:rPr>
                <w:noProof/>
                <w:webHidden/>
              </w:rPr>
              <w:fldChar w:fldCharType="end"/>
            </w:r>
          </w:hyperlink>
        </w:p>
        <w:p w14:paraId="364615F6" w14:textId="607D84CB" w:rsidR="004B001E" w:rsidRDefault="004B001E">
          <w:pPr>
            <w:pStyle w:val="Spistreci3"/>
            <w:tabs>
              <w:tab w:val="left" w:pos="132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4" w:history="1">
            <w:r w:rsidRPr="002C5F3B">
              <w:rPr>
                <w:rStyle w:val="Hipercze"/>
                <w:bCs/>
                <w:noProof/>
              </w:rPr>
              <w:t>2.1.2.</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Kable, przewody</w:t>
            </w:r>
            <w:r>
              <w:rPr>
                <w:noProof/>
                <w:webHidden/>
              </w:rPr>
              <w:tab/>
            </w:r>
            <w:r>
              <w:rPr>
                <w:noProof/>
                <w:webHidden/>
              </w:rPr>
              <w:fldChar w:fldCharType="begin"/>
            </w:r>
            <w:r>
              <w:rPr>
                <w:noProof/>
                <w:webHidden/>
              </w:rPr>
              <w:instrText xml:space="preserve"> PAGEREF _Toc139618014 \h </w:instrText>
            </w:r>
            <w:r>
              <w:rPr>
                <w:noProof/>
                <w:webHidden/>
              </w:rPr>
            </w:r>
            <w:r>
              <w:rPr>
                <w:noProof/>
                <w:webHidden/>
              </w:rPr>
              <w:fldChar w:fldCharType="separate"/>
            </w:r>
            <w:r w:rsidR="00A8526A">
              <w:rPr>
                <w:noProof/>
                <w:webHidden/>
              </w:rPr>
              <w:t>6</w:t>
            </w:r>
            <w:r>
              <w:rPr>
                <w:noProof/>
                <w:webHidden/>
              </w:rPr>
              <w:fldChar w:fldCharType="end"/>
            </w:r>
          </w:hyperlink>
        </w:p>
        <w:p w14:paraId="39C54014" w14:textId="535E5005" w:rsidR="004B001E" w:rsidRDefault="004B001E">
          <w:pPr>
            <w:pStyle w:val="Spistreci3"/>
            <w:tabs>
              <w:tab w:val="left" w:pos="132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5" w:history="1">
            <w:r w:rsidRPr="002C5F3B">
              <w:rPr>
                <w:rStyle w:val="Hipercze"/>
                <w:bCs/>
                <w:noProof/>
              </w:rPr>
              <w:t>2.1.3.</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Instalacja SSP</w:t>
            </w:r>
            <w:r>
              <w:rPr>
                <w:noProof/>
                <w:webHidden/>
              </w:rPr>
              <w:tab/>
            </w:r>
            <w:r>
              <w:rPr>
                <w:noProof/>
                <w:webHidden/>
              </w:rPr>
              <w:fldChar w:fldCharType="begin"/>
            </w:r>
            <w:r>
              <w:rPr>
                <w:noProof/>
                <w:webHidden/>
              </w:rPr>
              <w:instrText xml:space="preserve"> PAGEREF _Toc139618015 \h </w:instrText>
            </w:r>
            <w:r>
              <w:rPr>
                <w:noProof/>
                <w:webHidden/>
              </w:rPr>
            </w:r>
            <w:r>
              <w:rPr>
                <w:noProof/>
                <w:webHidden/>
              </w:rPr>
              <w:fldChar w:fldCharType="separate"/>
            </w:r>
            <w:r w:rsidR="00A8526A">
              <w:rPr>
                <w:noProof/>
                <w:webHidden/>
              </w:rPr>
              <w:t>7</w:t>
            </w:r>
            <w:r>
              <w:rPr>
                <w:noProof/>
                <w:webHidden/>
              </w:rPr>
              <w:fldChar w:fldCharType="end"/>
            </w:r>
          </w:hyperlink>
        </w:p>
        <w:p w14:paraId="5F382491" w14:textId="3AE09895"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6" w:history="1">
            <w:r w:rsidRPr="002C5F3B">
              <w:rPr>
                <w:rStyle w:val="Hipercze"/>
                <w:bCs/>
                <w:noProof/>
              </w:rPr>
              <w:t>3.</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SPRZĘT</w:t>
            </w:r>
            <w:r>
              <w:rPr>
                <w:noProof/>
                <w:webHidden/>
              </w:rPr>
              <w:tab/>
            </w:r>
            <w:r>
              <w:rPr>
                <w:noProof/>
                <w:webHidden/>
              </w:rPr>
              <w:fldChar w:fldCharType="begin"/>
            </w:r>
            <w:r>
              <w:rPr>
                <w:noProof/>
                <w:webHidden/>
              </w:rPr>
              <w:instrText xml:space="preserve"> PAGEREF _Toc139618016 \h </w:instrText>
            </w:r>
            <w:r>
              <w:rPr>
                <w:noProof/>
                <w:webHidden/>
              </w:rPr>
            </w:r>
            <w:r>
              <w:rPr>
                <w:noProof/>
                <w:webHidden/>
              </w:rPr>
              <w:fldChar w:fldCharType="separate"/>
            </w:r>
            <w:r w:rsidR="00A8526A">
              <w:rPr>
                <w:noProof/>
                <w:webHidden/>
              </w:rPr>
              <w:t>11</w:t>
            </w:r>
            <w:r>
              <w:rPr>
                <w:noProof/>
                <w:webHidden/>
              </w:rPr>
              <w:fldChar w:fldCharType="end"/>
            </w:r>
          </w:hyperlink>
        </w:p>
        <w:p w14:paraId="07DFBEB3" w14:textId="20C6BD52"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7" w:history="1">
            <w:r w:rsidRPr="002C5F3B">
              <w:rPr>
                <w:rStyle w:val="Hipercze"/>
                <w:bCs/>
                <w:noProof/>
              </w:rPr>
              <w:t>4.</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TRANSPORT I PRZECHOWYWANIE</w:t>
            </w:r>
            <w:r>
              <w:rPr>
                <w:noProof/>
                <w:webHidden/>
              </w:rPr>
              <w:tab/>
            </w:r>
            <w:r>
              <w:rPr>
                <w:noProof/>
                <w:webHidden/>
              </w:rPr>
              <w:fldChar w:fldCharType="begin"/>
            </w:r>
            <w:r>
              <w:rPr>
                <w:noProof/>
                <w:webHidden/>
              </w:rPr>
              <w:instrText xml:space="preserve"> PAGEREF _Toc139618017 \h </w:instrText>
            </w:r>
            <w:r>
              <w:rPr>
                <w:noProof/>
                <w:webHidden/>
              </w:rPr>
            </w:r>
            <w:r>
              <w:rPr>
                <w:noProof/>
                <w:webHidden/>
              </w:rPr>
              <w:fldChar w:fldCharType="separate"/>
            </w:r>
            <w:r w:rsidR="00A8526A">
              <w:rPr>
                <w:noProof/>
                <w:webHidden/>
              </w:rPr>
              <w:t>11</w:t>
            </w:r>
            <w:r>
              <w:rPr>
                <w:noProof/>
                <w:webHidden/>
              </w:rPr>
              <w:fldChar w:fldCharType="end"/>
            </w:r>
          </w:hyperlink>
        </w:p>
        <w:p w14:paraId="2DA37B59" w14:textId="258ADF7E"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8" w:history="1">
            <w:r w:rsidRPr="002C5F3B">
              <w:rPr>
                <w:rStyle w:val="Hipercze"/>
                <w:bCs/>
                <w:noProof/>
              </w:rPr>
              <w:t>5.</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WYKONANIE ROBÓT</w:t>
            </w:r>
            <w:r>
              <w:rPr>
                <w:noProof/>
                <w:webHidden/>
              </w:rPr>
              <w:tab/>
            </w:r>
            <w:r>
              <w:rPr>
                <w:noProof/>
                <w:webHidden/>
              </w:rPr>
              <w:fldChar w:fldCharType="begin"/>
            </w:r>
            <w:r>
              <w:rPr>
                <w:noProof/>
                <w:webHidden/>
              </w:rPr>
              <w:instrText xml:space="preserve"> PAGEREF _Toc139618018 \h </w:instrText>
            </w:r>
            <w:r>
              <w:rPr>
                <w:noProof/>
                <w:webHidden/>
              </w:rPr>
            </w:r>
            <w:r>
              <w:rPr>
                <w:noProof/>
                <w:webHidden/>
              </w:rPr>
              <w:fldChar w:fldCharType="separate"/>
            </w:r>
            <w:r w:rsidR="00A8526A">
              <w:rPr>
                <w:noProof/>
                <w:webHidden/>
              </w:rPr>
              <w:t>11</w:t>
            </w:r>
            <w:r>
              <w:rPr>
                <w:noProof/>
                <w:webHidden/>
              </w:rPr>
              <w:fldChar w:fldCharType="end"/>
            </w:r>
          </w:hyperlink>
        </w:p>
        <w:p w14:paraId="73BFC026" w14:textId="098D0794"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19" w:history="1">
            <w:r w:rsidRPr="002C5F3B">
              <w:rPr>
                <w:rStyle w:val="Hipercze"/>
                <w:bCs/>
                <w:noProof/>
              </w:rPr>
              <w:t>5.1.</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Wykonanie tras kablowych, układanie przewodów</w:t>
            </w:r>
            <w:r>
              <w:rPr>
                <w:noProof/>
                <w:webHidden/>
              </w:rPr>
              <w:tab/>
            </w:r>
            <w:r>
              <w:rPr>
                <w:noProof/>
                <w:webHidden/>
              </w:rPr>
              <w:fldChar w:fldCharType="begin"/>
            </w:r>
            <w:r>
              <w:rPr>
                <w:noProof/>
                <w:webHidden/>
              </w:rPr>
              <w:instrText xml:space="preserve"> PAGEREF _Toc139618019 \h </w:instrText>
            </w:r>
            <w:r>
              <w:rPr>
                <w:noProof/>
                <w:webHidden/>
              </w:rPr>
            </w:r>
            <w:r>
              <w:rPr>
                <w:noProof/>
                <w:webHidden/>
              </w:rPr>
              <w:fldChar w:fldCharType="separate"/>
            </w:r>
            <w:r w:rsidR="00A8526A">
              <w:rPr>
                <w:noProof/>
                <w:webHidden/>
              </w:rPr>
              <w:t>11</w:t>
            </w:r>
            <w:r>
              <w:rPr>
                <w:noProof/>
                <w:webHidden/>
              </w:rPr>
              <w:fldChar w:fldCharType="end"/>
            </w:r>
          </w:hyperlink>
        </w:p>
        <w:p w14:paraId="1E3B6233" w14:textId="7AAB9C97"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0" w:history="1">
            <w:r w:rsidRPr="002C5F3B">
              <w:rPr>
                <w:rStyle w:val="Hipercze"/>
                <w:bCs/>
                <w:noProof/>
              </w:rPr>
              <w:t>5.2.</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Montaż urządzeń</w:t>
            </w:r>
            <w:r>
              <w:rPr>
                <w:noProof/>
                <w:webHidden/>
              </w:rPr>
              <w:tab/>
            </w:r>
            <w:r>
              <w:rPr>
                <w:noProof/>
                <w:webHidden/>
              </w:rPr>
              <w:fldChar w:fldCharType="begin"/>
            </w:r>
            <w:r>
              <w:rPr>
                <w:noProof/>
                <w:webHidden/>
              </w:rPr>
              <w:instrText xml:space="preserve"> PAGEREF _Toc139618020 \h </w:instrText>
            </w:r>
            <w:r>
              <w:rPr>
                <w:noProof/>
                <w:webHidden/>
              </w:rPr>
            </w:r>
            <w:r>
              <w:rPr>
                <w:noProof/>
                <w:webHidden/>
              </w:rPr>
              <w:fldChar w:fldCharType="separate"/>
            </w:r>
            <w:r w:rsidR="00A8526A">
              <w:rPr>
                <w:noProof/>
                <w:webHidden/>
              </w:rPr>
              <w:t>13</w:t>
            </w:r>
            <w:r>
              <w:rPr>
                <w:noProof/>
                <w:webHidden/>
              </w:rPr>
              <w:fldChar w:fldCharType="end"/>
            </w:r>
          </w:hyperlink>
        </w:p>
        <w:p w14:paraId="673303AF" w14:textId="25BF38EC"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1" w:history="1">
            <w:r w:rsidRPr="002C5F3B">
              <w:rPr>
                <w:rStyle w:val="Hipercze"/>
                <w:bCs/>
                <w:noProof/>
              </w:rPr>
              <w:t>6.</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KONTROLA JAKOŚCI ROBÓT</w:t>
            </w:r>
            <w:r>
              <w:rPr>
                <w:noProof/>
                <w:webHidden/>
              </w:rPr>
              <w:tab/>
            </w:r>
            <w:r>
              <w:rPr>
                <w:noProof/>
                <w:webHidden/>
              </w:rPr>
              <w:fldChar w:fldCharType="begin"/>
            </w:r>
            <w:r>
              <w:rPr>
                <w:noProof/>
                <w:webHidden/>
              </w:rPr>
              <w:instrText xml:space="preserve"> PAGEREF _Toc139618021 \h </w:instrText>
            </w:r>
            <w:r>
              <w:rPr>
                <w:noProof/>
                <w:webHidden/>
              </w:rPr>
            </w:r>
            <w:r>
              <w:rPr>
                <w:noProof/>
                <w:webHidden/>
              </w:rPr>
              <w:fldChar w:fldCharType="separate"/>
            </w:r>
            <w:r w:rsidR="00A8526A">
              <w:rPr>
                <w:noProof/>
                <w:webHidden/>
              </w:rPr>
              <w:t>14</w:t>
            </w:r>
            <w:r>
              <w:rPr>
                <w:noProof/>
                <w:webHidden/>
              </w:rPr>
              <w:fldChar w:fldCharType="end"/>
            </w:r>
          </w:hyperlink>
        </w:p>
        <w:p w14:paraId="2B214384" w14:textId="3885CC05"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2" w:history="1">
            <w:r w:rsidRPr="002C5F3B">
              <w:rPr>
                <w:rStyle w:val="Hipercze"/>
                <w:bCs/>
                <w:noProof/>
              </w:rPr>
              <w:t>6.1.</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Wymagania ogólne</w:t>
            </w:r>
            <w:r>
              <w:rPr>
                <w:noProof/>
                <w:webHidden/>
              </w:rPr>
              <w:tab/>
            </w:r>
            <w:r>
              <w:rPr>
                <w:noProof/>
                <w:webHidden/>
              </w:rPr>
              <w:fldChar w:fldCharType="begin"/>
            </w:r>
            <w:r>
              <w:rPr>
                <w:noProof/>
                <w:webHidden/>
              </w:rPr>
              <w:instrText xml:space="preserve"> PAGEREF _Toc139618022 \h </w:instrText>
            </w:r>
            <w:r>
              <w:rPr>
                <w:noProof/>
                <w:webHidden/>
              </w:rPr>
            </w:r>
            <w:r>
              <w:rPr>
                <w:noProof/>
                <w:webHidden/>
              </w:rPr>
              <w:fldChar w:fldCharType="separate"/>
            </w:r>
            <w:r w:rsidR="00A8526A">
              <w:rPr>
                <w:noProof/>
                <w:webHidden/>
              </w:rPr>
              <w:t>14</w:t>
            </w:r>
            <w:r>
              <w:rPr>
                <w:noProof/>
                <w:webHidden/>
              </w:rPr>
              <w:fldChar w:fldCharType="end"/>
            </w:r>
          </w:hyperlink>
        </w:p>
        <w:p w14:paraId="3627EADB" w14:textId="4DB57F63"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3" w:history="1">
            <w:r w:rsidRPr="002C5F3B">
              <w:rPr>
                <w:rStyle w:val="Hipercze"/>
                <w:bCs/>
                <w:noProof/>
              </w:rPr>
              <w:t>6.2.</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Badania przed przystąpieniem do robót</w:t>
            </w:r>
            <w:r>
              <w:rPr>
                <w:noProof/>
                <w:webHidden/>
              </w:rPr>
              <w:tab/>
            </w:r>
            <w:r>
              <w:rPr>
                <w:noProof/>
                <w:webHidden/>
              </w:rPr>
              <w:fldChar w:fldCharType="begin"/>
            </w:r>
            <w:r>
              <w:rPr>
                <w:noProof/>
                <w:webHidden/>
              </w:rPr>
              <w:instrText xml:space="preserve"> PAGEREF _Toc139618023 \h </w:instrText>
            </w:r>
            <w:r>
              <w:rPr>
                <w:noProof/>
                <w:webHidden/>
              </w:rPr>
            </w:r>
            <w:r>
              <w:rPr>
                <w:noProof/>
                <w:webHidden/>
              </w:rPr>
              <w:fldChar w:fldCharType="separate"/>
            </w:r>
            <w:r w:rsidR="00A8526A">
              <w:rPr>
                <w:noProof/>
                <w:webHidden/>
              </w:rPr>
              <w:t>14</w:t>
            </w:r>
            <w:r>
              <w:rPr>
                <w:noProof/>
                <w:webHidden/>
              </w:rPr>
              <w:fldChar w:fldCharType="end"/>
            </w:r>
          </w:hyperlink>
        </w:p>
        <w:p w14:paraId="3469AD79" w14:textId="553E2613" w:rsidR="004B001E" w:rsidRDefault="004B001E">
          <w:pPr>
            <w:pStyle w:val="Spistreci2"/>
            <w:tabs>
              <w:tab w:val="left" w:pos="880"/>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4" w:history="1">
            <w:r w:rsidRPr="002C5F3B">
              <w:rPr>
                <w:rStyle w:val="Hipercze"/>
                <w:bCs/>
                <w:noProof/>
              </w:rPr>
              <w:t>6.3.</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Badania w czasie wykonywania robót</w:t>
            </w:r>
            <w:r>
              <w:rPr>
                <w:noProof/>
                <w:webHidden/>
              </w:rPr>
              <w:tab/>
            </w:r>
            <w:r>
              <w:rPr>
                <w:noProof/>
                <w:webHidden/>
              </w:rPr>
              <w:fldChar w:fldCharType="begin"/>
            </w:r>
            <w:r>
              <w:rPr>
                <w:noProof/>
                <w:webHidden/>
              </w:rPr>
              <w:instrText xml:space="preserve"> PAGEREF _Toc139618024 \h </w:instrText>
            </w:r>
            <w:r>
              <w:rPr>
                <w:noProof/>
                <w:webHidden/>
              </w:rPr>
            </w:r>
            <w:r>
              <w:rPr>
                <w:noProof/>
                <w:webHidden/>
              </w:rPr>
              <w:fldChar w:fldCharType="separate"/>
            </w:r>
            <w:r w:rsidR="00A8526A">
              <w:rPr>
                <w:noProof/>
                <w:webHidden/>
              </w:rPr>
              <w:t>14</w:t>
            </w:r>
            <w:r>
              <w:rPr>
                <w:noProof/>
                <w:webHidden/>
              </w:rPr>
              <w:fldChar w:fldCharType="end"/>
            </w:r>
          </w:hyperlink>
        </w:p>
        <w:p w14:paraId="5530D399" w14:textId="6E39C9A8"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5" w:history="1">
            <w:r w:rsidRPr="002C5F3B">
              <w:rPr>
                <w:rStyle w:val="Hipercze"/>
                <w:bCs/>
                <w:noProof/>
              </w:rPr>
              <w:t>7.</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OBMIAR ROBÓT</w:t>
            </w:r>
            <w:r>
              <w:rPr>
                <w:noProof/>
                <w:webHidden/>
              </w:rPr>
              <w:tab/>
            </w:r>
            <w:r>
              <w:rPr>
                <w:noProof/>
                <w:webHidden/>
              </w:rPr>
              <w:fldChar w:fldCharType="begin"/>
            </w:r>
            <w:r>
              <w:rPr>
                <w:noProof/>
                <w:webHidden/>
              </w:rPr>
              <w:instrText xml:space="preserve"> PAGEREF _Toc139618025 \h </w:instrText>
            </w:r>
            <w:r>
              <w:rPr>
                <w:noProof/>
                <w:webHidden/>
              </w:rPr>
            </w:r>
            <w:r>
              <w:rPr>
                <w:noProof/>
                <w:webHidden/>
              </w:rPr>
              <w:fldChar w:fldCharType="separate"/>
            </w:r>
            <w:r w:rsidR="00A8526A">
              <w:rPr>
                <w:noProof/>
                <w:webHidden/>
              </w:rPr>
              <w:t>14</w:t>
            </w:r>
            <w:r>
              <w:rPr>
                <w:noProof/>
                <w:webHidden/>
              </w:rPr>
              <w:fldChar w:fldCharType="end"/>
            </w:r>
          </w:hyperlink>
        </w:p>
        <w:p w14:paraId="4D3269DA" w14:textId="4F23B102"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6" w:history="1">
            <w:r w:rsidRPr="002C5F3B">
              <w:rPr>
                <w:rStyle w:val="Hipercze"/>
                <w:bCs/>
                <w:noProof/>
              </w:rPr>
              <w:t>8.</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ODBIÓR ROBÓT</w:t>
            </w:r>
            <w:r>
              <w:rPr>
                <w:noProof/>
                <w:webHidden/>
              </w:rPr>
              <w:tab/>
            </w:r>
            <w:r>
              <w:rPr>
                <w:noProof/>
                <w:webHidden/>
              </w:rPr>
              <w:fldChar w:fldCharType="begin"/>
            </w:r>
            <w:r>
              <w:rPr>
                <w:noProof/>
                <w:webHidden/>
              </w:rPr>
              <w:instrText xml:space="preserve"> PAGEREF _Toc139618026 \h </w:instrText>
            </w:r>
            <w:r>
              <w:rPr>
                <w:noProof/>
                <w:webHidden/>
              </w:rPr>
            </w:r>
            <w:r>
              <w:rPr>
                <w:noProof/>
                <w:webHidden/>
              </w:rPr>
              <w:fldChar w:fldCharType="separate"/>
            </w:r>
            <w:r w:rsidR="00A8526A">
              <w:rPr>
                <w:noProof/>
                <w:webHidden/>
              </w:rPr>
              <w:t>15</w:t>
            </w:r>
            <w:r>
              <w:rPr>
                <w:noProof/>
                <w:webHidden/>
              </w:rPr>
              <w:fldChar w:fldCharType="end"/>
            </w:r>
          </w:hyperlink>
        </w:p>
        <w:p w14:paraId="22139ECC" w14:textId="6EB62E0B" w:rsidR="004B001E" w:rsidRDefault="004B001E">
          <w:pPr>
            <w:pStyle w:val="Spistreci1"/>
            <w:tabs>
              <w:tab w:val="left" w:pos="505"/>
              <w:tab w:val="right" w:leader="dot" w:pos="9065"/>
            </w:tabs>
            <w:rPr>
              <w:rFonts w:asciiTheme="minorHAnsi" w:eastAsiaTheme="minorEastAsia" w:hAnsiTheme="minorHAnsi" w:cstheme="minorBidi"/>
              <w:b w:val="0"/>
              <w:noProof/>
              <w:color w:val="auto"/>
              <w:kern w:val="2"/>
              <w:sz w:val="22"/>
              <w14:ligatures w14:val="standardContextual"/>
            </w:rPr>
          </w:pPr>
          <w:hyperlink w:anchor="_Toc139618027" w:history="1">
            <w:r w:rsidRPr="002C5F3B">
              <w:rPr>
                <w:rStyle w:val="Hipercze"/>
                <w:bCs/>
                <w:noProof/>
              </w:rPr>
              <w:t>9.</w:t>
            </w:r>
            <w:r>
              <w:rPr>
                <w:rFonts w:asciiTheme="minorHAnsi" w:eastAsiaTheme="minorEastAsia" w:hAnsiTheme="minorHAnsi" w:cstheme="minorBidi"/>
                <w:b w:val="0"/>
                <w:noProof/>
                <w:color w:val="auto"/>
                <w:kern w:val="2"/>
                <w:sz w:val="22"/>
                <w14:ligatures w14:val="standardContextual"/>
              </w:rPr>
              <w:tab/>
            </w:r>
            <w:r w:rsidRPr="002C5F3B">
              <w:rPr>
                <w:rStyle w:val="Hipercze"/>
                <w:noProof/>
              </w:rPr>
              <w:t>PRZEPISY ZWIĄZANE</w:t>
            </w:r>
            <w:r>
              <w:rPr>
                <w:noProof/>
                <w:webHidden/>
              </w:rPr>
              <w:tab/>
            </w:r>
            <w:r>
              <w:rPr>
                <w:noProof/>
                <w:webHidden/>
              </w:rPr>
              <w:fldChar w:fldCharType="begin"/>
            </w:r>
            <w:r>
              <w:rPr>
                <w:noProof/>
                <w:webHidden/>
              </w:rPr>
              <w:instrText xml:space="preserve"> PAGEREF _Toc139618027 \h </w:instrText>
            </w:r>
            <w:r>
              <w:rPr>
                <w:noProof/>
                <w:webHidden/>
              </w:rPr>
            </w:r>
            <w:r>
              <w:rPr>
                <w:noProof/>
                <w:webHidden/>
              </w:rPr>
              <w:fldChar w:fldCharType="separate"/>
            </w:r>
            <w:r w:rsidR="00A8526A">
              <w:rPr>
                <w:noProof/>
                <w:webHidden/>
              </w:rPr>
              <w:t>16</w:t>
            </w:r>
            <w:r>
              <w:rPr>
                <w:noProof/>
                <w:webHidden/>
              </w:rPr>
              <w:fldChar w:fldCharType="end"/>
            </w:r>
          </w:hyperlink>
        </w:p>
        <w:p w14:paraId="5B29EC1B" w14:textId="65BFC057" w:rsidR="00EC483F" w:rsidRDefault="002540D1" w:rsidP="004B001E">
          <w:r w:rsidRPr="00022131">
            <w:fldChar w:fldCharType="end"/>
          </w:r>
        </w:p>
      </w:sdtContent>
    </w:sdt>
    <w:p w14:paraId="0F671581" w14:textId="77777777" w:rsidR="00EC483F" w:rsidRDefault="00EC483F"/>
    <w:p w14:paraId="1ED8D6C3" w14:textId="77777777" w:rsidR="00EC483F" w:rsidRPr="00022131" w:rsidRDefault="00EC483F"/>
    <w:p w14:paraId="41A5E55E" w14:textId="472A9C51" w:rsidR="00EC483F" w:rsidRPr="00EC483F" w:rsidRDefault="002540D1" w:rsidP="00EC483F">
      <w:pPr>
        <w:pStyle w:val="Nagwek1"/>
        <w:spacing w:after="355"/>
        <w:ind w:left="345" w:right="153" w:hanging="360"/>
      </w:pPr>
      <w:bookmarkStart w:id="2" w:name="_Toc139618005"/>
      <w:r w:rsidRPr="00022131">
        <w:lastRenderedPageBreak/>
        <w:t>WSTĘP</w:t>
      </w:r>
      <w:bookmarkEnd w:id="2"/>
      <w:r w:rsidRPr="00022131">
        <w:t xml:space="preserve"> </w:t>
      </w:r>
    </w:p>
    <w:p w14:paraId="083EE0C7" w14:textId="77777777" w:rsidR="00D33D22" w:rsidRPr="00022131" w:rsidRDefault="002540D1">
      <w:pPr>
        <w:pStyle w:val="Nagwek2"/>
        <w:spacing w:after="212"/>
        <w:ind w:left="792" w:right="153" w:hanging="432"/>
      </w:pPr>
      <w:bookmarkStart w:id="3" w:name="_Toc139618006"/>
      <w:r w:rsidRPr="00022131">
        <w:t>Nazwa zamówienia</w:t>
      </w:r>
      <w:bookmarkEnd w:id="3"/>
      <w:r w:rsidRPr="00022131">
        <w:t xml:space="preserve"> </w:t>
      </w:r>
    </w:p>
    <w:p w14:paraId="75DFB1A9" w14:textId="55553685" w:rsidR="0001366A" w:rsidRPr="00022131" w:rsidRDefault="00EC483F" w:rsidP="00EC483F">
      <w:pPr>
        <w:spacing w:after="0" w:line="398" w:lineRule="auto"/>
        <w:ind w:left="360" w:firstLine="708"/>
      </w:pPr>
      <w:r>
        <w:t>System SSP w budynku Kujawsko – Pomorskiego</w:t>
      </w:r>
      <w:r>
        <w:t xml:space="preserve"> </w:t>
      </w:r>
      <w:r>
        <w:t>Specja</w:t>
      </w:r>
      <w:r>
        <w:t>l</w:t>
      </w:r>
      <w:r>
        <w:t xml:space="preserve">nego Ośrodka </w:t>
      </w:r>
      <w:proofErr w:type="spellStart"/>
      <w:r>
        <w:t>Szkolno</w:t>
      </w:r>
      <w:proofErr w:type="spellEnd"/>
      <w:r>
        <w:t xml:space="preserve"> – Wychowawczego nr 2 dla Dzieci i Młodzieży Słabo Słyszącej im. Gen. Stanisława Maczka</w:t>
      </w:r>
    </w:p>
    <w:p w14:paraId="47D3B263" w14:textId="1BFDE24F" w:rsidR="00D33D22" w:rsidRPr="00022131" w:rsidRDefault="002540D1" w:rsidP="0001366A">
      <w:pPr>
        <w:spacing w:after="0" w:line="398" w:lineRule="auto"/>
        <w:ind w:left="360" w:firstLine="708"/>
      </w:pPr>
      <w:r w:rsidRPr="00022131">
        <w:t xml:space="preserve">Przedmiot ST </w:t>
      </w:r>
    </w:p>
    <w:p w14:paraId="1F6F6139" w14:textId="7E1E55B7" w:rsidR="00D33D22" w:rsidRPr="00022131" w:rsidRDefault="002540D1">
      <w:pPr>
        <w:spacing w:after="222" w:line="385" w:lineRule="auto"/>
        <w:ind w:left="360" w:right="400" w:firstLine="708"/>
      </w:pPr>
      <w:r w:rsidRPr="00022131">
        <w:t xml:space="preserve">Przedmiotem niniejszej specyfikacji technicznej są wymagania dotyczące wykonania i odbioru </w:t>
      </w:r>
      <w:r w:rsidR="00EC483F">
        <w:t xml:space="preserve">instalacji SSP w </w:t>
      </w:r>
      <w:r w:rsidR="00EC483F" w:rsidRPr="00EC483F">
        <w:t xml:space="preserve">Kujawsko – Pomorskiego Specjalnego Ośrodka </w:t>
      </w:r>
      <w:proofErr w:type="spellStart"/>
      <w:r w:rsidR="00EC483F" w:rsidRPr="00EC483F">
        <w:t>Szkolno</w:t>
      </w:r>
      <w:proofErr w:type="spellEnd"/>
      <w:r w:rsidR="00EC483F" w:rsidRPr="00EC483F">
        <w:t xml:space="preserve"> – Wychowawczego nr 2 dla Dzieci i Młodzieży Słabo Słyszącej im. Gen. Stanisława Maczka</w:t>
      </w:r>
    </w:p>
    <w:p w14:paraId="0EF198B5" w14:textId="5AA9A62C" w:rsidR="00D33D22" w:rsidRPr="00022131" w:rsidRDefault="002540D1">
      <w:pPr>
        <w:pStyle w:val="Nagwek2"/>
        <w:spacing w:after="209"/>
        <w:ind w:left="792" w:right="153" w:hanging="432"/>
      </w:pPr>
      <w:bookmarkStart w:id="4" w:name="_Toc139618007"/>
      <w:r w:rsidRPr="00022131">
        <w:t>Zakres stosowania ST</w:t>
      </w:r>
      <w:bookmarkEnd w:id="4"/>
      <w:r w:rsidRPr="00022131">
        <w:t xml:space="preserve"> </w:t>
      </w:r>
    </w:p>
    <w:p w14:paraId="657C18CA" w14:textId="77777777" w:rsidR="00D33D22" w:rsidRPr="00022131" w:rsidRDefault="002540D1" w:rsidP="0001366A">
      <w:pPr>
        <w:spacing w:after="115" w:line="259" w:lineRule="auto"/>
        <w:ind w:left="10" w:right="401"/>
        <w:jc w:val="center"/>
      </w:pPr>
      <w:r w:rsidRPr="00022131">
        <w:t xml:space="preserve">Specyfikacja techniczna stanowi obowiązującą podstawę jako dokument </w:t>
      </w:r>
    </w:p>
    <w:p w14:paraId="64CFF0B2" w14:textId="77777777" w:rsidR="00D33D22" w:rsidRPr="00022131" w:rsidRDefault="002540D1">
      <w:pPr>
        <w:spacing w:after="399"/>
      </w:pPr>
      <w:r w:rsidRPr="00022131">
        <w:t xml:space="preserve">przetargowy i kontraktowy przy zlecaniu i realizacji robót wymienionych w punkcie 1.2. </w:t>
      </w:r>
    </w:p>
    <w:p w14:paraId="1851CB69" w14:textId="77777777" w:rsidR="00D33D22" w:rsidRPr="00022131" w:rsidRDefault="002540D1">
      <w:pPr>
        <w:pStyle w:val="Nagwek2"/>
        <w:spacing w:after="213"/>
        <w:ind w:left="792" w:right="153" w:hanging="432"/>
      </w:pPr>
      <w:bookmarkStart w:id="5" w:name="_Toc139618008"/>
      <w:r w:rsidRPr="00022131">
        <w:t>Zakres robót objętych ST</w:t>
      </w:r>
      <w:bookmarkEnd w:id="5"/>
      <w:r w:rsidRPr="00022131">
        <w:t xml:space="preserve"> </w:t>
      </w:r>
    </w:p>
    <w:p w14:paraId="14F54075" w14:textId="77777777" w:rsidR="00D33D22" w:rsidRPr="00022131" w:rsidRDefault="002540D1">
      <w:pPr>
        <w:spacing w:after="9" w:line="395" w:lineRule="auto"/>
        <w:ind w:left="360" w:firstLine="708"/>
      </w:pPr>
      <w:r w:rsidRPr="00022131">
        <w:t xml:space="preserve">Ustalenia zawarte w niniejszej Specyfikacji dotyczą zasad prowadzenia robót związanych z realizacją następujących prac: </w:t>
      </w:r>
    </w:p>
    <w:p w14:paraId="1FB67CA8" w14:textId="77777777" w:rsidR="00D33D22" w:rsidRPr="00022131" w:rsidRDefault="002540D1">
      <w:pPr>
        <w:numPr>
          <w:ilvl w:val="0"/>
          <w:numId w:val="1"/>
        </w:numPr>
        <w:ind w:hanging="360"/>
      </w:pPr>
      <w:r w:rsidRPr="00022131">
        <w:t xml:space="preserve">transport i składowanie materiałów </w:t>
      </w:r>
    </w:p>
    <w:p w14:paraId="36D8FCB1" w14:textId="77777777" w:rsidR="00D33D22" w:rsidRPr="00022131" w:rsidRDefault="002540D1">
      <w:pPr>
        <w:numPr>
          <w:ilvl w:val="0"/>
          <w:numId w:val="1"/>
        </w:numPr>
        <w:ind w:hanging="360"/>
      </w:pPr>
      <w:r w:rsidRPr="00022131">
        <w:t xml:space="preserve">trasowanie i montaż linii kablowych, </w:t>
      </w:r>
    </w:p>
    <w:p w14:paraId="1837E24E" w14:textId="196B86EC" w:rsidR="00D33D22" w:rsidRPr="00022131" w:rsidRDefault="00EC483F">
      <w:pPr>
        <w:numPr>
          <w:ilvl w:val="0"/>
          <w:numId w:val="1"/>
        </w:numPr>
        <w:ind w:hanging="360"/>
      </w:pPr>
      <w:r>
        <w:t xml:space="preserve">instalację SSP </w:t>
      </w:r>
    </w:p>
    <w:p w14:paraId="4F7F3091" w14:textId="77777777" w:rsidR="004B5B9B" w:rsidRPr="00022131" w:rsidRDefault="004B5B9B">
      <w:pPr>
        <w:spacing w:after="400"/>
        <w:ind w:left="1075"/>
      </w:pPr>
    </w:p>
    <w:p w14:paraId="010186D8" w14:textId="77777777" w:rsidR="00D33D22" w:rsidRPr="00022131" w:rsidRDefault="002540D1">
      <w:pPr>
        <w:pStyle w:val="Nagwek2"/>
        <w:spacing w:after="213"/>
        <w:ind w:left="792" w:right="153" w:hanging="432"/>
      </w:pPr>
      <w:bookmarkStart w:id="6" w:name="_Toc139618009"/>
      <w:r w:rsidRPr="00022131">
        <w:t>Określenia podstawowe, definicje</w:t>
      </w:r>
      <w:bookmarkEnd w:id="6"/>
      <w:r w:rsidRPr="00022131">
        <w:t xml:space="preserve"> </w:t>
      </w:r>
    </w:p>
    <w:p w14:paraId="329ECBA2" w14:textId="77777777" w:rsidR="00D33D22" w:rsidRPr="00022131" w:rsidRDefault="002540D1">
      <w:pPr>
        <w:spacing w:line="356" w:lineRule="auto"/>
        <w:ind w:left="360" w:firstLine="708"/>
      </w:pPr>
      <w:r w:rsidRPr="00022131">
        <w:t xml:space="preserve">Podana poniżej terminologia bazuje głównie na określeniach zawartych w polskich normach. </w:t>
      </w:r>
    </w:p>
    <w:p w14:paraId="10F6E46A" w14:textId="77777777" w:rsidR="00D33D22" w:rsidRPr="00022131" w:rsidRDefault="002540D1">
      <w:pPr>
        <w:spacing w:after="1" w:line="398" w:lineRule="auto"/>
        <w:ind w:left="10" w:right="402"/>
      </w:pPr>
      <w:r w:rsidRPr="00022131">
        <w:rPr>
          <w:b/>
        </w:rPr>
        <w:t xml:space="preserve">aprobata techniczna </w:t>
      </w:r>
      <w:r w:rsidRPr="00022131">
        <w:t xml:space="preserve">– dokument dotyczący wyrobu, stwierdzający jego przydatność do określonego zakresu stosowania, w szczególności zawierający ustalenia techniczne odnoszące się do wymagań podstawowych, jakie ma spełnić wyrób oraz określający metody badań potwierdzających te wymagania; </w:t>
      </w:r>
    </w:p>
    <w:p w14:paraId="6AA57E53" w14:textId="77777777" w:rsidR="00D33D22" w:rsidRPr="00022131" w:rsidRDefault="002540D1">
      <w:pPr>
        <w:spacing w:after="2" w:line="399" w:lineRule="auto"/>
        <w:ind w:left="10" w:right="403"/>
      </w:pPr>
      <w:r w:rsidRPr="00022131">
        <w:rPr>
          <w:b/>
        </w:rPr>
        <w:t xml:space="preserve">certyfikat na znak bezpieczeństwa </w:t>
      </w:r>
      <w:r w:rsidRPr="00022131">
        <w:t xml:space="preserve">– dokument wykazujący, że zapewniono zgodność z kryteriami technicznymi, określonymi na podstawie polskich norm, aprobat technicznych </w:t>
      </w:r>
      <w:r w:rsidRPr="00022131">
        <w:lastRenderedPageBreak/>
        <w:t xml:space="preserve">oraz właściwych przepisów i dokumentów technicznych – w odniesieniu do wyrobów podlegających certyfikacji; </w:t>
      </w:r>
    </w:p>
    <w:p w14:paraId="69EC271B" w14:textId="77777777" w:rsidR="00D33D22" w:rsidRPr="00022131" w:rsidRDefault="002540D1">
      <w:pPr>
        <w:spacing w:after="0" w:line="384" w:lineRule="auto"/>
        <w:ind w:left="10" w:right="401"/>
      </w:pPr>
      <w:r w:rsidRPr="00022131">
        <w:rPr>
          <w:b/>
        </w:rPr>
        <w:t xml:space="preserve">certyfikat zgodności lub deklaracja zgodności </w:t>
      </w:r>
      <w:r w:rsidRPr="00022131">
        <w:t xml:space="preserve">– dokument wydany zgodnie z zasadami systemu certyfikacji, wykazujący, że zapewniono odpowiedni stopień zaufania, iż należycie zidentyfikowany wyrób, proces lub usługa są zgodne z określoną normą lub właściwymi przepisami prawnymi; </w:t>
      </w:r>
    </w:p>
    <w:p w14:paraId="23A51D03" w14:textId="77777777" w:rsidR="00D33D22" w:rsidRPr="00022131" w:rsidRDefault="002540D1">
      <w:pPr>
        <w:spacing w:after="3" w:line="398" w:lineRule="auto"/>
        <w:ind w:left="10"/>
      </w:pPr>
      <w:r w:rsidRPr="00022131">
        <w:rPr>
          <w:b/>
        </w:rPr>
        <w:t xml:space="preserve">obwód (instalacji elektrycznej) </w:t>
      </w:r>
      <w:r w:rsidRPr="00022131">
        <w:t xml:space="preserve">– zespół elementów instalacji elektrycznej wspólnie zasilanych i chronionych przed przetężeniem wspólnym zabezpieczeniem; </w:t>
      </w:r>
    </w:p>
    <w:p w14:paraId="1056CCA4" w14:textId="77777777" w:rsidR="00D33D22" w:rsidRPr="00022131" w:rsidRDefault="002540D1">
      <w:pPr>
        <w:spacing w:after="4" w:line="397" w:lineRule="auto"/>
        <w:ind w:left="-5" w:right="153"/>
        <w:jc w:val="left"/>
      </w:pPr>
      <w:r w:rsidRPr="00022131">
        <w:rPr>
          <w:b/>
        </w:rPr>
        <w:t xml:space="preserve">obwód rozdzielczy: wewnętrzna linia zasilająca – </w:t>
      </w:r>
      <w:proofErr w:type="spellStart"/>
      <w:r w:rsidRPr="00022131">
        <w:rPr>
          <w:b/>
        </w:rPr>
        <w:t>wlz</w:t>
      </w:r>
      <w:proofErr w:type="spellEnd"/>
      <w:r w:rsidRPr="00022131">
        <w:rPr>
          <w:b/>
        </w:rPr>
        <w:t xml:space="preserve"> (obiektu budowlanego)</w:t>
      </w:r>
      <w:r w:rsidRPr="00022131">
        <w:t xml:space="preserve"> – obwód elektryczne zasilający tablice rozdzielczą; </w:t>
      </w:r>
    </w:p>
    <w:p w14:paraId="6CF56D2B" w14:textId="77777777" w:rsidR="00D33D22" w:rsidRPr="00022131" w:rsidRDefault="002540D1">
      <w:pPr>
        <w:spacing w:after="9" w:line="388" w:lineRule="auto"/>
        <w:ind w:left="10" w:right="400"/>
      </w:pPr>
      <w:r w:rsidRPr="00022131">
        <w:rPr>
          <w:b/>
        </w:rPr>
        <w:t>obwód odbiorczy: obwód końcowy</w:t>
      </w:r>
      <w:r w:rsidRPr="00022131">
        <w:t xml:space="preserve"> </w:t>
      </w:r>
      <w:r w:rsidRPr="00022131">
        <w:rPr>
          <w:b/>
        </w:rPr>
        <w:t xml:space="preserve">(obiektu budowlanego) </w:t>
      </w:r>
      <w:r w:rsidRPr="00022131">
        <w:t xml:space="preserve">– obwód, do którego są przyłączone bezpośrednio odbiorniki energii elektrycznej lub gniazda wtyczkowe; </w:t>
      </w:r>
      <w:r w:rsidRPr="00022131">
        <w:rPr>
          <w:b/>
        </w:rPr>
        <w:t>obciążalność prądowa długotrwała (przewodu)</w:t>
      </w:r>
      <w:r w:rsidRPr="00022131">
        <w:t xml:space="preserve"> – maksymalna wartość prądu, który może płynąć długotrwale w określonych warunkach bez przekroczenia dopuszczalnej temperatury przewodu; </w:t>
      </w:r>
    </w:p>
    <w:p w14:paraId="1E69F04D" w14:textId="470E63AB" w:rsidR="00D33D22" w:rsidRPr="00022131" w:rsidRDefault="002540D1">
      <w:pPr>
        <w:spacing w:after="3" w:line="398" w:lineRule="auto"/>
        <w:ind w:left="10" w:right="402"/>
      </w:pPr>
      <w:r w:rsidRPr="00022131">
        <w:rPr>
          <w:b/>
        </w:rPr>
        <w:t xml:space="preserve">prąd przetężeniowy </w:t>
      </w:r>
      <w:r w:rsidRPr="00022131">
        <w:t xml:space="preserve">– dowolna wartość prądu większa od wartości znamionowej. Dla przewodów, wartością znamionową jest obciążalność prądowa długotrwała; </w:t>
      </w:r>
      <w:proofErr w:type="spellStart"/>
      <w:r w:rsidRPr="00022131">
        <w:rPr>
          <w:b/>
        </w:rPr>
        <w:t>oprzewodowanie</w:t>
      </w:r>
      <w:proofErr w:type="spellEnd"/>
      <w:r w:rsidRPr="00022131">
        <w:rPr>
          <w:b/>
        </w:rPr>
        <w:t xml:space="preserve"> </w:t>
      </w:r>
      <w:r w:rsidRPr="00022131">
        <w:t>–</w:t>
      </w:r>
      <w:r w:rsidRPr="00022131">
        <w:rPr>
          <w:b/>
        </w:rPr>
        <w:t xml:space="preserve"> </w:t>
      </w:r>
      <w:r w:rsidRPr="00022131">
        <w:t>przewód, przewody lub przewody szynowe i elementy zapewniające ich zamocowanie i ochronę</w:t>
      </w:r>
      <w:r w:rsidRPr="00022131">
        <w:rPr>
          <w:b/>
        </w:rPr>
        <w:t xml:space="preserve"> </w:t>
      </w:r>
      <w:r w:rsidRPr="00022131">
        <w:t xml:space="preserve">przed uszkodzeniami mechanicznymi; </w:t>
      </w:r>
      <w:r w:rsidR="00D77DA9" w:rsidRPr="00022131">
        <w:t>przewody z odpowiednimi certyfikatami i atestami dostosowanymi do aktualnych przepisów</w:t>
      </w:r>
    </w:p>
    <w:p w14:paraId="6134802E" w14:textId="77777777" w:rsidR="00D33D22" w:rsidRPr="00022131" w:rsidRDefault="002540D1">
      <w:pPr>
        <w:spacing w:after="48" w:line="357" w:lineRule="auto"/>
        <w:ind w:left="10" w:right="400"/>
      </w:pPr>
      <w:r w:rsidRPr="00022131">
        <w:rPr>
          <w:b/>
        </w:rPr>
        <w:t xml:space="preserve">urządzenia elektryczne </w:t>
      </w:r>
      <w:r w:rsidRPr="00022131">
        <w:t xml:space="preserve">– wszystkie urządzenia i elementy instalacji elektrycznej przeznaczone do takich celów jak wytwarzanie, przekształcanie, przesyłanie rozdział lub wykorzystanie energii elektrycznej; </w:t>
      </w:r>
    </w:p>
    <w:p w14:paraId="3626461E" w14:textId="77777777" w:rsidR="00D33D22" w:rsidRPr="00022131" w:rsidRDefault="002540D1">
      <w:pPr>
        <w:spacing w:after="0" w:line="399" w:lineRule="auto"/>
        <w:ind w:left="10" w:right="400"/>
      </w:pPr>
      <w:r w:rsidRPr="00022131">
        <w:rPr>
          <w:b/>
        </w:rPr>
        <w:t>odbiorniki energii elektrycznej</w:t>
      </w:r>
      <w:r w:rsidRPr="00022131">
        <w:t xml:space="preserve"> – urządzenia przeznaczone do przetwarzania energii elektrycznej w inna formę energii (np. światło, ciepło, energię mechaniczną itp.); </w:t>
      </w:r>
      <w:r w:rsidRPr="00022131">
        <w:rPr>
          <w:b/>
        </w:rPr>
        <w:t>oprawa oświetleniowa (elektryczna)</w:t>
      </w:r>
      <w:r w:rsidRPr="00022131">
        <w:t xml:space="preserve"> – kompletne urządzenie służące do przymocowania i połączenia z instalacją elektryczna jednego lub kilku źródeł światła, ochrony źródeł światła przed wpływami zewnętrznymi i ochrony środowiska przed szkodliwym działaniem źródła światła a także do uzyskania odpowiednich parametrów świetlnych (bryła fotometryczna, luminacja), ułatwia właściwe umiejscowienie i bezpieczną wymianę źródeł światła, tworzy </w:t>
      </w:r>
      <w:r w:rsidRPr="00022131">
        <w:lastRenderedPageBreak/>
        <w:t xml:space="preserve">estetyczne formy wymagane dla danego typu pomieszczenia. Elementami dodatkowymi są osłony lub elementy ukierunkowania źródeł światła w formie: klosza, odbłyśnika, rastra, abażuru </w:t>
      </w:r>
      <w:r w:rsidRPr="00022131">
        <w:rPr>
          <w:b/>
        </w:rPr>
        <w:t>rozdzielnica niskonapięciowa</w:t>
      </w:r>
      <w:r w:rsidRPr="00022131">
        <w:t xml:space="preserve"> – zestaw jednego lub kilku łączników niskonapięciowych wraz ze współpracującym wyposażeniem sterowniczym, pomiarowym, sygnalizacyjnym, zabezpieczeniowym, regulacyjnym itd., kompletnie zmontowany na odpowiedzialność wytwórcy, ze wszystkimi wewnętrznymi połączeniami elektrycznymi i mechanicznymi oraz częściami konstrukcyjnymi; </w:t>
      </w:r>
    </w:p>
    <w:p w14:paraId="755CCBD4" w14:textId="77777777" w:rsidR="00D33D22" w:rsidRPr="00022131" w:rsidRDefault="002540D1">
      <w:pPr>
        <w:spacing w:after="157"/>
        <w:ind w:left="10"/>
      </w:pPr>
      <w:r w:rsidRPr="00022131">
        <w:rPr>
          <w:b/>
        </w:rPr>
        <w:t>ochrona przed dotykiem pośrednim</w:t>
      </w:r>
      <w:r w:rsidRPr="00022131">
        <w:t xml:space="preserve"> – ochrona dostępnych części przewodzących w </w:t>
      </w:r>
    </w:p>
    <w:p w14:paraId="0404898B" w14:textId="77777777" w:rsidR="00D33D22" w:rsidRPr="00022131" w:rsidRDefault="002540D1">
      <w:pPr>
        <w:spacing w:after="155"/>
        <w:ind w:left="10"/>
      </w:pPr>
      <w:r w:rsidRPr="00022131">
        <w:t xml:space="preserve">przypadku pojawienia się na nich napięcia w warunkach zakłóceniowych; </w:t>
      </w:r>
    </w:p>
    <w:p w14:paraId="3D1D40FC" w14:textId="77777777" w:rsidR="00D33D22" w:rsidRPr="00022131" w:rsidRDefault="002540D1">
      <w:pPr>
        <w:spacing w:after="158"/>
        <w:ind w:left="10"/>
      </w:pPr>
      <w:r w:rsidRPr="00022131">
        <w:rPr>
          <w:b/>
        </w:rPr>
        <w:t>ochrona przed dotykiem bezpośrednim</w:t>
      </w:r>
      <w:r w:rsidRPr="00022131">
        <w:t xml:space="preserve"> – ochrona przed dotykiem części czynnych </w:t>
      </w:r>
    </w:p>
    <w:p w14:paraId="2652D2D3" w14:textId="77777777" w:rsidR="00D33D22" w:rsidRPr="00022131" w:rsidRDefault="002540D1">
      <w:pPr>
        <w:spacing w:after="155"/>
        <w:ind w:left="10"/>
      </w:pPr>
      <w:r w:rsidRPr="00022131">
        <w:t xml:space="preserve">instalacji elektrycznej w trakcie ich normalnej pracy pod napięciem, </w:t>
      </w:r>
    </w:p>
    <w:p w14:paraId="526EA2DF" w14:textId="77777777" w:rsidR="00D33D22" w:rsidRPr="00022131" w:rsidRDefault="002540D1">
      <w:pPr>
        <w:spacing w:after="109"/>
        <w:ind w:left="10"/>
      </w:pPr>
      <w:r w:rsidRPr="00022131">
        <w:rPr>
          <w:b/>
        </w:rPr>
        <w:t xml:space="preserve">napięcie znamionowe instalacji </w:t>
      </w:r>
      <w:r w:rsidRPr="00022131">
        <w:t xml:space="preserve">– znamionowe napięcie międzyprzewodowe, na które </w:t>
      </w:r>
    </w:p>
    <w:p w14:paraId="796B2405" w14:textId="77777777" w:rsidR="00D33D22" w:rsidRPr="00022131" w:rsidRDefault="002540D1">
      <w:pPr>
        <w:spacing w:after="155"/>
        <w:ind w:left="10"/>
      </w:pPr>
      <w:r w:rsidRPr="00022131">
        <w:t xml:space="preserve">instalacja została zbudowana; </w:t>
      </w:r>
    </w:p>
    <w:p w14:paraId="1E51B9F2" w14:textId="77777777" w:rsidR="00D33D22" w:rsidRPr="00022131" w:rsidRDefault="002540D1">
      <w:pPr>
        <w:spacing w:after="0" w:line="401" w:lineRule="auto"/>
        <w:ind w:left="10"/>
      </w:pPr>
      <w:r w:rsidRPr="00022131">
        <w:rPr>
          <w:b/>
        </w:rPr>
        <w:t xml:space="preserve">obudowa, osłona </w:t>
      </w:r>
      <w:r w:rsidRPr="00022131">
        <w:t xml:space="preserve">– element zapewniający ochronę przed niektórymi wpływami otoczenia  i przed dotykiem bezpośrednim z dowolnej strony; </w:t>
      </w:r>
    </w:p>
    <w:p w14:paraId="40574292" w14:textId="77777777" w:rsidR="00D33D22" w:rsidRPr="00022131" w:rsidRDefault="002540D1">
      <w:pPr>
        <w:spacing w:after="0" w:line="399" w:lineRule="auto"/>
        <w:ind w:left="10"/>
      </w:pPr>
      <w:r w:rsidRPr="00022131">
        <w:rPr>
          <w:b/>
        </w:rPr>
        <w:t>uziom</w:t>
      </w:r>
      <w:r w:rsidRPr="00022131">
        <w:t xml:space="preserve"> – przedmiot lub zespół przedmiotów umieszczonych w gruncie (ziemi) tworzący elektryczne połączenie z tym gruntem (ziemią); </w:t>
      </w:r>
    </w:p>
    <w:p w14:paraId="6EA1A3B8" w14:textId="77777777" w:rsidR="00D33D22" w:rsidRPr="00022131" w:rsidRDefault="002540D1">
      <w:pPr>
        <w:spacing w:after="16" w:line="384" w:lineRule="auto"/>
        <w:ind w:left="10" w:right="402"/>
      </w:pPr>
      <w:r w:rsidRPr="00022131">
        <w:rPr>
          <w:b/>
        </w:rPr>
        <w:t>przewód ochronny (PE)</w:t>
      </w:r>
      <w:r w:rsidRPr="00022131">
        <w:t xml:space="preserve"> – przewód lub żyła przewodu przeznaczony do elektrycznego połączenia następujących części: dostępnej części przewodzącej, obcej przewodzącej, głównej szyny (zacisku uziemiającego), uziomu, uziemionego punktu naturalnego źródła zasilania lub punktu neutralnego sztucznego; </w:t>
      </w:r>
    </w:p>
    <w:p w14:paraId="4A12AB07" w14:textId="77777777" w:rsidR="00D33D22" w:rsidRPr="00022131" w:rsidRDefault="002540D1">
      <w:pPr>
        <w:spacing w:after="246" w:line="399" w:lineRule="auto"/>
        <w:ind w:left="10"/>
      </w:pPr>
      <w:r w:rsidRPr="00022131">
        <w:rPr>
          <w:b/>
        </w:rPr>
        <w:t>przewód ochronno-neutralny (PEN)</w:t>
      </w:r>
      <w:r w:rsidRPr="00022131">
        <w:t xml:space="preserve"> – uziemiony przewód (żyła przewodu) spełniający jednocześnie funkcje przewodu ochronnego i przewodu neutralnego; </w:t>
      </w:r>
    </w:p>
    <w:p w14:paraId="4937F5A6" w14:textId="77777777" w:rsidR="00D33D22" w:rsidRPr="00022131" w:rsidRDefault="002540D1">
      <w:pPr>
        <w:pStyle w:val="Nagwek2"/>
        <w:spacing w:after="210"/>
        <w:ind w:left="792" w:right="153" w:hanging="432"/>
      </w:pPr>
      <w:bookmarkStart w:id="7" w:name="_Toc139618010"/>
      <w:r w:rsidRPr="00022131">
        <w:t>Ogólne wymagania dotyczące robót</w:t>
      </w:r>
      <w:bookmarkEnd w:id="7"/>
      <w:r w:rsidRPr="00022131">
        <w:t xml:space="preserve"> </w:t>
      </w:r>
    </w:p>
    <w:p w14:paraId="02D7AD70" w14:textId="70DA30FF" w:rsidR="00D33D22" w:rsidRPr="00022131" w:rsidRDefault="002540D1">
      <w:pPr>
        <w:spacing w:line="398" w:lineRule="auto"/>
        <w:ind w:left="360" w:right="403" w:firstLine="708"/>
      </w:pPr>
      <w:r w:rsidRPr="00022131">
        <w:t>Wszystkie roboty instalacyjne oraz uruchomieniowe należy wykonać w oparciu o dokumentacje projektową, oraz aktualnie obowiązujące normy i przepisy. Przed uruchomieniem awaryjnego oświetlenia ewakuacyjnego wykonać pomiary jak dla instalacji elektrycznej oraz dokonać pomiarów natężenia oświetlenia. Instalację przeciwp</w:t>
      </w:r>
      <w:r w:rsidR="004B5B9B" w:rsidRPr="00022131">
        <w:t>o</w:t>
      </w:r>
      <w:r w:rsidRPr="00022131">
        <w:t xml:space="preserve">żarowego wyłącznika prądu zakończyć pomiarami zadziałania wyłącznika. </w:t>
      </w:r>
      <w:r w:rsidRPr="00022131">
        <w:lastRenderedPageBreak/>
        <w:t xml:space="preserve">Instalację elektryczną oraz strukturalną również należy poddać badaniom zgodnie z obowiązującymi normami. </w:t>
      </w:r>
    </w:p>
    <w:p w14:paraId="31B567D2" w14:textId="7689DEC3" w:rsidR="002C59FC" w:rsidRPr="00022131" w:rsidRDefault="002540D1" w:rsidP="00D77DA9">
      <w:pPr>
        <w:spacing w:after="254" w:line="392" w:lineRule="auto"/>
        <w:ind w:left="360" w:firstLine="708"/>
        <w:jc w:val="left"/>
      </w:pPr>
      <w:r w:rsidRPr="00022131">
        <w:t xml:space="preserve">Demontaż instalacji elektrycznej oraz instalacji sieci strukturalnej </w:t>
      </w:r>
      <w:r w:rsidR="004B5B9B" w:rsidRPr="00022131">
        <w:t xml:space="preserve">oraz innych instalacji teletechnicznych </w:t>
      </w:r>
      <w:r w:rsidRPr="00022131">
        <w:t xml:space="preserve">wykonać przed rozpoczęciem prac nad nową instalacją. Zdemontowane urządzenia przekazać protokolarnie Inwestorowi. Demontaż sieci strukturalnej </w:t>
      </w:r>
      <w:r w:rsidR="004B5B9B" w:rsidRPr="00022131">
        <w:t xml:space="preserve">oraz wszystkich instalacji teletechnicznych </w:t>
      </w:r>
      <w:r w:rsidRPr="00022131">
        <w:t>wykonać w porozumieniu z administratorem sieci.</w:t>
      </w:r>
    </w:p>
    <w:p w14:paraId="5BA61BEF" w14:textId="77777777" w:rsidR="00D33D22" w:rsidRPr="00022131" w:rsidRDefault="002540D1">
      <w:pPr>
        <w:pStyle w:val="Nagwek1"/>
        <w:spacing w:after="210"/>
        <w:ind w:left="345" w:right="153" w:hanging="360"/>
      </w:pPr>
      <w:bookmarkStart w:id="8" w:name="_Toc139618011"/>
      <w:r w:rsidRPr="00022131">
        <w:t>WYMAGANIA DOTYCZĄCE WŁAŚCIWOŚCI MATERIAŁÓW</w:t>
      </w:r>
      <w:bookmarkEnd w:id="8"/>
      <w:r w:rsidRPr="00022131">
        <w:t xml:space="preserve"> </w:t>
      </w:r>
    </w:p>
    <w:p w14:paraId="0E8A8D39" w14:textId="77777777" w:rsidR="00D33D22" w:rsidRPr="00022131" w:rsidRDefault="002540D1">
      <w:pPr>
        <w:spacing w:after="203" w:line="399" w:lineRule="auto"/>
        <w:ind w:left="0" w:right="402" w:firstLine="708"/>
      </w:pPr>
      <w:r w:rsidRPr="00022131">
        <w:t xml:space="preserve">Wszystkie elementy systemu muszą posiadać aktualne atesty, certyfikaty oraz świadectwa dopuszczające do ich stosowania w budownictwie i ochronie przeciwpożarowej budynków. Rodzaj atestów i dokumentów wymaganych dla ich potwierdzenia określają obowiązujące przepisy prawa budowlanego. </w:t>
      </w:r>
    </w:p>
    <w:p w14:paraId="74587EAC" w14:textId="77777777" w:rsidR="00D33D22" w:rsidRPr="00022131" w:rsidRDefault="002540D1">
      <w:pPr>
        <w:pStyle w:val="Nagwek2"/>
        <w:spacing w:after="397"/>
        <w:ind w:left="792" w:right="153" w:hanging="432"/>
      </w:pPr>
      <w:bookmarkStart w:id="9" w:name="_Toc139618012"/>
      <w:r w:rsidRPr="00022131">
        <w:t>Rodzaje materiałów</w:t>
      </w:r>
      <w:bookmarkEnd w:id="9"/>
      <w:r w:rsidRPr="00022131">
        <w:t xml:space="preserve"> </w:t>
      </w:r>
    </w:p>
    <w:p w14:paraId="37C38B1D" w14:textId="18BF9E96" w:rsidR="00D33D22" w:rsidRPr="00022131" w:rsidRDefault="006A0242">
      <w:pPr>
        <w:pStyle w:val="Nagwek3"/>
        <w:spacing w:after="209"/>
        <w:ind w:left="1440" w:right="153" w:hanging="720"/>
      </w:pPr>
      <w:bookmarkStart w:id="10" w:name="_Toc139618013"/>
      <w:r>
        <w:t>Instalacja SSP</w:t>
      </w:r>
      <w:bookmarkEnd w:id="10"/>
      <w:r>
        <w:t xml:space="preserve"> </w:t>
      </w:r>
    </w:p>
    <w:p w14:paraId="63BCAA67" w14:textId="77777777" w:rsidR="00D33D22" w:rsidRPr="00022131" w:rsidRDefault="002540D1">
      <w:pPr>
        <w:spacing w:after="30"/>
        <w:ind w:left="1810" w:right="153"/>
        <w:jc w:val="left"/>
      </w:pPr>
      <w:r w:rsidRPr="00022131">
        <w:rPr>
          <w:b/>
        </w:rPr>
        <w:t xml:space="preserve">Przełącznik </w:t>
      </w:r>
    </w:p>
    <w:p w14:paraId="5DDD3D30" w14:textId="218D6059" w:rsidR="00D33D22" w:rsidRPr="00022131" w:rsidRDefault="003C5605">
      <w:pPr>
        <w:numPr>
          <w:ilvl w:val="0"/>
          <w:numId w:val="6"/>
        </w:numPr>
        <w:spacing w:after="74"/>
        <w:ind w:hanging="336"/>
      </w:pPr>
      <w:r w:rsidRPr="00022131">
        <w:t>Materiały zgodn</w:t>
      </w:r>
      <w:r w:rsidR="001441AB" w:rsidRPr="00022131">
        <w:t>e</w:t>
      </w:r>
      <w:r w:rsidRPr="00022131">
        <w:t xml:space="preserve"> z dokumentacją techniczną </w:t>
      </w:r>
    </w:p>
    <w:p w14:paraId="0B813242" w14:textId="77777777" w:rsidR="00D33D22" w:rsidRPr="00022131" w:rsidRDefault="002540D1">
      <w:pPr>
        <w:spacing w:after="0"/>
        <w:ind w:left="1810" w:right="153"/>
        <w:jc w:val="left"/>
      </w:pPr>
      <w:r w:rsidRPr="00022131">
        <w:rPr>
          <w:b/>
        </w:rPr>
        <w:t xml:space="preserve">Gniazda </w:t>
      </w:r>
    </w:p>
    <w:p w14:paraId="7671BCF4" w14:textId="77777777" w:rsidR="00D33D22" w:rsidRPr="00022131" w:rsidRDefault="002540D1">
      <w:pPr>
        <w:spacing w:after="55" w:line="259" w:lineRule="auto"/>
        <w:ind w:left="1800" w:firstLine="0"/>
        <w:jc w:val="left"/>
      </w:pPr>
      <w:r w:rsidRPr="00022131">
        <w:rPr>
          <w:rFonts w:eastAsia="Arial"/>
          <w:b/>
          <w:sz w:val="22"/>
        </w:rPr>
        <w:t xml:space="preserve">Parametry elektryczne </w:t>
      </w:r>
    </w:p>
    <w:p w14:paraId="046AD893" w14:textId="77777777" w:rsidR="00D33D22" w:rsidRPr="00022131" w:rsidRDefault="002540D1">
      <w:pPr>
        <w:numPr>
          <w:ilvl w:val="0"/>
          <w:numId w:val="6"/>
        </w:numPr>
        <w:ind w:hanging="336"/>
      </w:pPr>
      <w:r w:rsidRPr="00022131">
        <w:t xml:space="preserve">Rezystancja: ≤ 20 </w:t>
      </w:r>
      <w:proofErr w:type="spellStart"/>
      <w:r w:rsidRPr="00022131">
        <w:t>mΩ</w:t>
      </w:r>
      <w:proofErr w:type="spellEnd"/>
      <w:r w:rsidRPr="00022131">
        <w:t xml:space="preserve"> </w:t>
      </w:r>
    </w:p>
    <w:p w14:paraId="120343AA" w14:textId="77777777" w:rsidR="00D33D22" w:rsidRPr="00022131" w:rsidRDefault="002540D1">
      <w:pPr>
        <w:numPr>
          <w:ilvl w:val="0"/>
          <w:numId w:val="6"/>
        </w:numPr>
        <w:ind w:hanging="336"/>
      </w:pPr>
      <w:r w:rsidRPr="00022131">
        <w:t xml:space="preserve">Tolerancja rezystancji: ≤ 2,5 </w:t>
      </w:r>
      <w:proofErr w:type="spellStart"/>
      <w:r w:rsidRPr="00022131">
        <w:t>mΩ</w:t>
      </w:r>
      <w:proofErr w:type="spellEnd"/>
      <w:r w:rsidRPr="00022131">
        <w:t xml:space="preserve"> </w:t>
      </w:r>
    </w:p>
    <w:p w14:paraId="37A50156" w14:textId="77777777" w:rsidR="00D77DA9" w:rsidRPr="00022131" w:rsidRDefault="002540D1">
      <w:pPr>
        <w:numPr>
          <w:ilvl w:val="0"/>
          <w:numId w:val="6"/>
        </w:numPr>
        <w:spacing w:after="77"/>
        <w:ind w:hanging="336"/>
      </w:pPr>
      <w:r w:rsidRPr="00022131">
        <w:t xml:space="preserve">Rezystancja izolacji: ≥ 100 MΩ </w:t>
      </w:r>
      <w:r w:rsidRPr="00022131">
        <w:tab/>
      </w:r>
    </w:p>
    <w:p w14:paraId="22479671" w14:textId="2233C8A4" w:rsidR="00D33D22" w:rsidRPr="00022131" w:rsidRDefault="002540D1" w:rsidP="00D77DA9">
      <w:pPr>
        <w:spacing w:after="77"/>
        <w:ind w:left="1401" w:firstLine="0"/>
      </w:pPr>
      <w:r w:rsidRPr="00022131">
        <w:t xml:space="preserve"> </w:t>
      </w:r>
    </w:p>
    <w:p w14:paraId="2F63440B" w14:textId="77777777" w:rsidR="00D33D22" w:rsidRPr="00022131" w:rsidRDefault="002540D1">
      <w:pPr>
        <w:spacing w:after="165"/>
        <w:ind w:left="1810" w:right="153"/>
        <w:jc w:val="left"/>
      </w:pPr>
      <w:r w:rsidRPr="00022131">
        <w:rPr>
          <w:b/>
        </w:rPr>
        <w:t xml:space="preserve">Parametry mechaniczne </w:t>
      </w:r>
    </w:p>
    <w:p w14:paraId="0E362F6B" w14:textId="77777777" w:rsidR="00D33D22" w:rsidRPr="00022131" w:rsidRDefault="002540D1">
      <w:pPr>
        <w:numPr>
          <w:ilvl w:val="0"/>
          <w:numId w:val="6"/>
        </w:numPr>
        <w:ind w:hanging="336"/>
      </w:pPr>
      <w:r w:rsidRPr="00022131">
        <w:t xml:space="preserve">Trwałość: &gt; 750 cykli </w:t>
      </w:r>
    </w:p>
    <w:p w14:paraId="4FC5D20B" w14:textId="77777777" w:rsidR="00D33D22" w:rsidRPr="00022131" w:rsidRDefault="002540D1">
      <w:pPr>
        <w:numPr>
          <w:ilvl w:val="0"/>
          <w:numId w:val="6"/>
        </w:numPr>
        <w:ind w:hanging="336"/>
      </w:pPr>
      <w:r w:rsidRPr="00022131">
        <w:t xml:space="preserve">Materiał styków: Stop miedzi </w:t>
      </w:r>
    </w:p>
    <w:p w14:paraId="7317D658" w14:textId="77777777" w:rsidR="00D33D22" w:rsidRPr="00022131" w:rsidRDefault="002540D1">
      <w:pPr>
        <w:numPr>
          <w:ilvl w:val="0"/>
          <w:numId w:val="6"/>
        </w:numPr>
        <w:ind w:hanging="336"/>
      </w:pPr>
      <w:r w:rsidRPr="00022131">
        <w:t xml:space="preserve">Powłoka styków: 1.27 </w:t>
      </w:r>
      <w:proofErr w:type="spellStart"/>
      <w:r w:rsidRPr="00022131">
        <w:t>μm</w:t>
      </w:r>
      <w:proofErr w:type="spellEnd"/>
      <w:r w:rsidRPr="00022131">
        <w:t xml:space="preserve"> złota na 2.50 </w:t>
      </w:r>
      <w:proofErr w:type="spellStart"/>
      <w:r w:rsidRPr="00022131">
        <w:t>μm</w:t>
      </w:r>
      <w:proofErr w:type="spellEnd"/>
      <w:r w:rsidRPr="00022131">
        <w:t xml:space="preserve"> niklu </w:t>
      </w:r>
    </w:p>
    <w:p w14:paraId="7486F2D0" w14:textId="77777777" w:rsidR="00D33D22" w:rsidRPr="00022131" w:rsidRDefault="002540D1">
      <w:pPr>
        <w:numPr>
          <w:ilvl w:val="0"/>
          <w:numId w:val="6"/>
        </w:numPr>
        <w:spacing w:after="325"/>
        <w:ind w:hanging="336"/>
      </w:pPr>
      <w:r w:rsidRPr="00022131">
        <w:t xml:space="preserve">Materiał obudowy: UL94V0 </w:t>
      </w:r>
    </w:p>
    <w:p w14:paraId="781E17B6" w14:textId="77777777" w:rsidR="00D33D22" w:rsidRPr="00022131" w:rsidRDefault="002540D1">
      <w:pPr>
        <w:pStyle w:val="Nagwek3"/>
        <w:ind w:left="1440" w:right="153" w:hanging="720"/>
      </w:pPr>
      <w:bookmarkStart w:id="11" w:name="_Toc139618014"/>
      <w:r w:rsidRPr="00022131">
        <w:t>Kable, przewody</w:t>
      </w:r>
      <w:bookmarkEnd w:id="11"/>
      <w:r w:rsidRPr="00022131">
        <w:t xml:space="preserve"> </w:t>
      </w:r>
    </w:p>
    <w:p w14:paraId="35808E97" w14:textId="12B8E4BC" w:rsidR="00D33D22" w:rsidRPr="00022131" w:rsidRDefault="002540D1">
      <w:pPr>
        <w:spacing w:after="165"/>
        <w:ind w:left="718" w:right="153"/>
        <w:jc w:val="left"/>
      </w:pPr>
      <w:r w:rsidRPr="00022131">
        <w:rPr>
          <w:b/>
        </w:rPr>
        <w:t xml:space="preserve">Telekomunikacyjny kabel stacyjny </w:t>
      </w:r>
      <w:proofErr w:type="spellStart"/>
      <w:r w:rsidRPr="00022131">
        <w:rPr>
          <w:b/>
        </w:rPr>
        <w:t>YNTKSYekw</w:t>
      </w:r>
      <w:proofErr w:type="spellEnd"/>
      <w:r w:rsidR="00717648" w:rsidRPr="00022131">
        <w:rPr>
          <w:b/>
        </w:rPr>
        <w:t xml:space="preserve"> B2Ca</w:t>
      </w:r>
      <w:r w:rsidRPr="00022131">
        <w:rPr>
          <w:b/>
        </w:rPr>
        <w:t xml:space="preserve"> </w:t>
      </w:r>
    </w:p>
    <w:p w14:paraId="1FEAF8DF" w14:textId="77777777" w:rsidR="00D33D22" w:rsidRPr="00022131" w:rsidRDefault="002540D1">
      <w:pPr>
        <w:numPr>
          <w:ilvl w:val="0"/>
          <w:numId w:val="7"/>
        </w:numPr>
        <w:ind w:hanging="360"/>
      </w:pPr>
      <w:r w:rsidRPr="00022131">
        <w:lastRenderedPageBreak/>
        <w:t xml:space="preserve">żyły jednodrutowe wykonane z miedzi, o przekroju 0,8.Smm  </w:t>
      </w:r>
    </w:p>
    <w:p w14:paraId="145A3777" w14:textId="77777777" w:rsidR="00D33D22" w:rsidRPr="00022131" w:rsidRDefault="002540D1">
      <w:pPr>
        <w:numPr>
          <w:ilvl w:val="0"/>
          <w:numId w:val="7"/>
        </w:numPr>
        <w:ind w:hanging="360"/>
      </w:pPr>
      <w:r w:rsidRPr="00022131">
        <w:t xml:space="preserve">powłoka – kolor czerwony, </w:t>
      </w:r>
      <w:proofErr w:type="spellStart"/>
      <w:r w:rsidRPr="00022131">
        <w:t>uniepalniona</w:t>
      </w:r>
      <w:proofErr w:type="spellEnd"/>
      <w:r w:rsidRPr="00022131">
        <w:t xml:space="preserve"> </w:t>
      </w:r>
    </w:p>
    <w:p w14:paraId="640E8966" w14:textId="77777777" w:rsidR="00D33D22" w:rsidRPr="00022131" w:rsidRDefault="002540D1">
      <w:pPr>
        <w:numPr>
          <w:ilvl w:val="0"/>
          <w:numId w:val="7"/>
        </w:numPr>
        <w:ind w:hanging="360"/>
      </w:pPr>
      <w:r w:rsidRPr="00022131">
        <w:t xml:space="preserve">napięcie pracy – 150 V </w:t>
      </w:r>
    </w:p>
    <w:p w14:paraId="1CB9FE99" w14:textId="77777777" w:rsidR="00D33D22" w:rsidRPr="00022131" w:rsidRDefault="002540D1">
      <w:pPr>
        <w:numPr>
          <w:ilvl w:val="0"/>
          <w:numId w:val="7"/>
        </w:numPr>
        <w:ind w:hanging="360"/>
      </w:pPr>
      <w:r w:rsidRPr="00022131">
        <w:t xml:space="preserve">rezystancja żyły 1 mm – 24 Ω/km </w:t>
      </w:r>
    </w:p>
    <w:p w14:paraId="266906AE" w14:textId="77777777" w:rsidR="00D33D22" w:rsidRPr="00022131" w:rsidRDefault="002540D1">
      <w:pPr>
        <w:numPr>
          <w:ilvl w:val="0"/>
          <w:numId w:val="7"/>
        </w:numPr>
        <w:ind w:hanging="360"/>
      </w:pPr>
      <w:r w:rsidRPr="00022131">
        <w:t xml:space="preserve">pojemność żył – max 150 </w:t>
      </w:r>
      <w:proofErr w:type="spellStart"/>
      <w:r w:rsidRPr="00022131">
        <w:t>nF</w:t>
      </w:r>
      <w:proofErr w:type="spellEnd"/>
      <w:r w:rsidRPr="00022131">
        <w:t xml:space="preserve">/km </w:t>
      </w:r>
    </w:p>
    <w:p w14:paraId="796ECFFA" w14:textId="13EB3C3D" w:rsidR="00EC483F" w:rsidRDefault="00EC483F" w:rsidP="00EC483F">
      <w:pPr>
        <w:spacing w:after="165"/>
        <w:ind w:left="718" w:right="153"/>
        <w:jc w:val="left"/>
        <w:rPr>
          <w:b/>
        </w:rPr>
      </w:pPr>
      <w:r>
        <w:rPr>
          <w:b/>
        </w:rPr>
        <w:t xml:space="preserve">Przewód </w:t>
      </w:r>
      <w:r w:rsidRPr="00022131">
        <w:rPr>
          <w:b/>
        </w:rPr>
        <w:t xml:space="preserve"> </w:t>
      </w:r>
      <w:r w:rsidRPr="00EC483F">
        <w:rPr>
          <w:b/>
        </w:rPr>
        <w:t>HTKSHekwPH90 3x2x0,8</w:t>
      </w:r>
      <w:r>
        <w:rPr>
          <w:b/>
        </w:rPr>
        <w:t xml:space="preserve"> B2Ca</w:t>
      </w:r>
    </w:p>
    <w:p w14:paraId="08B63C12" w14:textId="220B1D13" w:rsidR="00EC483F" w:rsidRPr="00022131" w:rsidRDefault="00EC483F" w:rsidP="00EC483F">
      <w:pPr>
        <w:numPr>
          <w:ilvl w:val="0"/>
          <w:numId w:val="7"/>
        </w:numPr>
        <w:ind w:hanging="360"/>
      </w:pPr>
      <w:r w:rsidRPr="00022131">
        <w:t xml:space="preserve">powłoka – </w:t>
      </w:r>
      <w:r w:rsidR="00372CE7" w:rsidRPr="00022131">
        <w:t xml:space="preserve">kolor czerwony, </w:t>
      </w:r>
      <w:proofErr w:type="spellStart"/>
      <w:r w:rsidR="00372CE7" w:rsidRPr="00022131">
        <w:t>uniepalnion</w:t>
      </w:r>
      <w:r w:rsidR="00372CE7">
        <w:t>a</w:t>
      </w:r>
      <w:proofErr w:type="spellEnd"/>
    </w:p>
    <w:p w14:paraId="522B2979" w14:textId="77777777" w:rsidR="00EC483F" w:rsidRPr="00022131" w:rsidRDefault="00EC483F" w:rsidP="00EC483F">
      <w:pPr>
        <w:numPr>
          <w:ilvl w:val="0"/>
          <w:numId w:val="7"/>
        </w:numPr>
        <w:ind w:hanging="360"/>
      </w:pPr>
      <w:r w:rsidRPr="00022131">
        <w:t xml:space="preserve">napięcie pracy – 150 V </w:t>
      </w:r>
    </w:p>
    <w:p w14:paraId="5CE2E3DE" w14:textId="77777777" w:rsidR="00EC483F" w:rsidRPr="00022131" w:rsidRDefault="00EC483F" w:rsidP="00EC483F">
      <w:pPr>
        <w:numPr>
          <w:ilvl w:val="0"/>
          <w:numId w:val="7"/>
        </w:numPr>
        <w:ind w:hanging="360"/>
      </w:pPr>
      <w:r w:rsidRPr="00022131">
        <w:t xml:space="preserve">rezystancja żyły 1 mm – 24 Ω/km </w:t>
      </w:r>
    </w:p>
    <w:p w14:paraId="074C9E7C" w14:textId="77777777" w:rsidR="00EC483F" w:rsidRPr="00022131" w:rsidRDefault="00EC483F" w:rsidP="00EC483F">
      <w:pPr>
        <w:numPr>
          <w:ilvl w:val="0"/>
          <w:numId w:val="7"/>
        </w:numPr>
        <w:ind w:hanging="360"/>
      </w:pPr>
      <w:r w:rsidRPr="00022131">
        <w:t xml:space="preserve">pojemność żył – max 150 </w:t>
      </w:r>
      <w:proofErr w:type="spellStart"/>
      <w:r w:rsidRPr="00022131">
        <w:t>nF</w:t>
      </w:r>
      <w:proofErr w:type="spellEnd"/>
      <w:r w:rsidRPr="00022131">
        <w:t xml:space="preserve">/km </w:t>
      </w:r>
    </w:p>
    <w:p w14:paraId="1375C758" w14:textId="77777777" w:rsidR="00022131" w:rsidRPr="00022131" w:rsidRDefault="00022131" w:rsidP="00EC483F">
      <w:pPr>
        <w:spacing w:after="77"/>
        <w:ind w:left="1425" w:firstLine="0"/>
      </w:pPr>
    </w:p>
    <w:p w14:paraId="65C72197" w14:textId="77777777" w:rsidR="00EC483F" w:rsidRDefault="00EC483F">
      <w:pPr>
        <w:spacing w:after="165"/>
        <w:ind w:left="1078" w:right="153"/>
        <w:jc w:val="left"/>
        <w:rPr>
          <w:b/>
        </w:rPr>
      </w:pPr>
    </w:p>
    <w:p w14:paraId="4627116B" w14:textId="77777777" w:rsidR="00EC483F" w:rsidRDefault="00EC483F">
      <w:pPr>
        <w:spacing w:after="165"/>
        <w:ind w:left="1078" w:right="153"/>
        <w:jc w:val="left"/>
        <w:rPr>
          <w:b/>
        </w:rPr>
      </w:pPr>
    </w:p>
    <w:p w14:paraId="478EF151" w14:textId="77777777" w:rsidR="00EC483F" w:rsidRDefault="00EC483F">
      <w:pPr>
        <w:spacing w:after="165"/>
        <w:ind w:left="1078" w:right="153"/>
        <w:jc w:val="left"/>
        <w:rPr>
          <w:b/>
        </w:rPr>
      </w:pPr>
    </w:p>
    <w:p w14:paraId="29EE21B1" w14:textId="614067D2" w:rsidR="00D33D22" w:rsidRPr="00022131" w:rsidRDefault="002540D1">
      <w:pPr>
        <w:spacing w:after="165"/>
        <w:ind w:left="1078" w:right="153"/>
        <w:jc w:val="left"/>
      </w:pPr>
      <w:r w:rsidRPr="00022131">
        <w:rPr>
          <w:b/>
        </w:rPr>
        <w:t xml:space="preserve">Przewody </w:t>
      </w:r>
      <w:r w:rsidR="00EC483F" w:rsidRPr="00EC483F">
        <w:rPr>
          <w:b/>
        </w:rPr>
        <w:t>HDGSPH90 3x2,5</w:t>
      </w:r>
      <w:r w:rsidR="00EC483F">
        <w:rPr>
          <w:b/>
        </w:rPr>
        <w:t xml:space="preserve"> </w:t>
      </w:r>
      <w:r w:rsidR="00717648" w:rsidRPr="00022131">
        <w:rPr>
          <w:b/>
        </w:rPr>
        <w:t xml:space="preserve">zgodne z CPR </w:t>
      </w:r>
    </w:p>
    <w:p w14:paraId="508C5D55" w14:textId="77777777" w:rsidR="00372CE7" w:rsidRPr="00022131" w:rsidRDefault="00372CE7" w:rsidP="00372CE7">
      <w:pPr>
        <w:numPr>
          <w:ilvl w:val="0"/>
          <w:numId w:val="7"/>
        </w:numPr>
        <w:ind w:hanging="360"/>
      </w:pPr>
      <w:r w:rsidRPr="00022131">
        <w:t xml:space="preserve">powłoka – kolor czerwony, </w:t>
      </w:r>
      <w:proofErr w:type="spellStart"/>
      <w:r w:rsidRPr="00022131">
        <w:t>uniepalnion</w:t>
      </w:r>
      <w:r>
        <w:t>a</w:t>
      </w:r>
      <w:proofErr w:type="spellEnd"/>
    </w:p>
    <w:p w14:paraId="3D92BA14" w14:textId="77777777" w:rsidR="00D33D22" w:rsidRDefault="002540D1">
      <w:pPr>
        <w:numPr>
          <w:ilvl w:val="0"/>
          <w:numId w:val="7"/>
        </w:numPr>
        <w:spacing w:after="76"/>
        <w:ind w:hanging="360"/>
      </w:pPr>
      <w:r w:rsidRPr="00022131">
        <w:t xml:space="preserve">napięcie znamionowe 450/750V </w:t>
      </w:r>
    </w:p>
    <w:p w14:paraId="3FDD19A6" w14:textId="77777777" w:rsidR="00EC483F" w:rsidRPr="00022131" w:rsidRDefault="00EC483F" w:rsidP="00EC483F">
      <w:pPr>
        <w:spacing w:after="76"/>
        <w:ind w:left="1425" w:firstLine="0"/>
      </w:pPr>
    </w:p>
    <w:p w14:paraId="36337C30" w14:textId="1916179C" w:rsidR="005F0FEC" w:rsidRDefault="005F0FEC" w:rsidP="005F0FEC">
      <w:pPr>
        <w:pStyle w:val="Nagwek3"/>
      </w:pPr>
      <w:bookmarkStart w:id="12" w:name="_Toc139618015"/>
      <w:r>
        <w:t>Instalacja SSP</w:t>
      </w:r>
      <w:bookmarkEnd w:id="12"/>
    </w:p>
    <w:p w14:paraId="2AAC027C" w14:textId="77777777" w:rsidR="006A0242" w:rsidRDefault="006A0242" w:rsidP="006A0242">
      <w:r>
        <w:t>Centrale:</w:t>
      </w:r>
    </w:p>
    <w:p w14:paraId="23E82AD6" w14:textId="77777777" w:rsidR="006A0242" w:rsidRDefault="006A0242" w:rsidP="006A0242">
      <w:r>
        <w:t>•</w:t>
      </w:r>
      <w:r>
        <w:tab/>
        <w:t xml:space="preserve">POLON 4900 – centrala sygnalizacji pożarowej przeznaczona do stosowania: </w:t>
      </w:r>
    </w:p>
    <w:p w14:paraId="1CC01AC7" w14:textId="77777777" w:rsidR="006A0242" w:rsidRDefault="006A0242" w:rsidP="006A0242">
      <w:r>
        <w:t>o</w:t>
      </w:r>
      <w:r>
        <w:tab/>
        <w:t>w dużych budynkach (centrale pracujące samodzielnie) wymagające do ok. 800 adresowalnych elementów pętlowych oraz dużej liczby sterowań automatyką pożarową,</w:t>
      </w:r>
    </w:p>
    <w:p w14:paraId="10CFFF44" w14:textId="77777777" w:rsidR="006A0242" w:rsidRDefault="006A0242" w:rsidP="006A0242">
      <w:r>
        <w:t>o</w:t>
      </w:r>
      <w:r>
        <w:tab/>
        <w:t>w rozległych obiektach (centrale pracujące w sieci) wymagające do ok. 30 000 adresowalnych elementów pętlowych oraz dużej liczby elementów automatyki pożarowej.</w:t>
      </w:r>
    </w:p>
    <w:p w14:paraId="5B86E49D" w14:textId="535AF21D" w:rsidR="006A0242" w:rsidRDefault="006A0242" w:rsidP="00A7674A">
      <w:r>
        <w:t>•</w:t>
      </w:r>
      <w:r>
        <w:tab/>
        <w:t>UCS 6000 – uniwersalna centrala sterująca przeznaczona do uruchamiania urządzeń przeciwpożarowych, służących do oddymiania grawitacyjnego i mechanicznego.</w:t>
      </w:r>
    </w:p>
    <w:p w14:paraId="60FD4EB9" w14:textId="77777777" w:rsidR="006A0242" w:rsidRDefault="006A0242" w:rsidP="006A0242">
      <w:r>
        <w:t>Czujki:</w:t>
      </w:r>
    </w:p>
    <w:p w14:paraId="70C1FA6D" w14:textId="77777777" w:rsidR="006A0242" w:rsidRDefault="006A0242" w:rsidP="006A0242">
      <w:r>
        <w:t>DOR-4046 – optyczna czujka dymu,</w:t>
      </w:r>
    </w:p>
    <w:p w14:paraId="5CB12507" w14:textId="77777777" w:rsidR="006A0242" w:rsidRDefault="006A0242" w:rsidP="006A0242">
      <w:r>
        <w:t>DOT-6046  – wielosensorowa czujka dymu i ciepła,</w:t>
      </w:r>
    </w:p>
    <w:p w14:paraId="593766E2" w14:textId="630723CA" w:rsidR="006A0242" w:rsidRDefault="006A0242" w:rsidP="00A7674A">
      <w:r>
        <w:t>TUN-6046 – uniwersalna czujka ciepła.</w:t>
      </w:r>
    </w:p>
    <w:p w14:paraId="3D72C7D0" w14:textId="77777777" w:rsidR="006A0242" w:rsidRDefault="006A0242" w:rsidP="006A0242">
      <w:r>
        <w:t>Ręczne ostrzegacze pożarowe:</w:t>
      </w:r>
    </w:p>
    <w:p w14:paraId="77685CFD" w14:textId="77777777" w:rsidR="006A0242" w:rsidRDefault="006A0242" w:rsidP="006A0242">
      <w:r>
        <w:lastRenderedPageBreak/>
        <w:t>ROP-4001M– ręczny ostrzegacz pożarowy do zastosowań wewnątrz lub na zewnątrz budynków.</w:t>
      </w:r>
    </w:p>
    <w:p w14:paraId="79C43B5C" w14:textId="77777777" w:rsidR="006A0242" w:rsidRDefault="006A0242" w:rsidP="006A0242"/>
    <w:p w14:paraId="6D06A77E" w14:textId="23F4F3BF" w:rsidR="006A0242" w:rsidRDefault="006A0242" w:rsidP="00A7674A">
      <w:r>
        <w:t>Sygnalizatory adresowalne:</w:t>
      </w:r>
    </w:p>
    <w:p w14:paraId="48F9DAE2" w14:textId="0737A76E" w:rsidR="006A0242" w:rsidRDefault="006A0242" w:rsidP="00A7674A">
      <w:r>
        <w:t>SAL-4001 – adresowalny sygnalizator akustyczny.</w:t>
      </w:r>
    </w:p>
    <w:p w14:paraId="344EF4F5" w14:textId="77777777" w:rsidR="006A0242" w:rsidRDefault="006A0242" w:rsidP="006A0242">
      <w:r>
        <w:t>Sygnalizatory konwencjonalne:</w:t>
      </w:r>
    </w:p>
    <w:p w14:paraId="54182136" w14:textId="77777777" w:rsidR="006A0242" w:rsidRDefault="006A0242" w:rsidP="006A0242">
      <w:r>
        <w:t>SAO-P8 – konwencjonalny sygnalizator akustyczno-optyczny tonowy,</w:t>
      </w:r>
    </w:p>
    <w:p w14:paraId="3CBEF606" w14:textId="77777777" w:rsidR="006A0242" w:rsidRDefault="006A0242" w:rsidP="006A0242">
      <w:r>
        <w:t>Elementy kontrolno-sterujące:</w:t>
      </w:r>
    </w:p>
    <w:p w14:paraId="04F1231E" w14:textId="77777777" w:rsidR="006A0242" w:rsidRDefault="006A0242" w:rsidP="006A0242">
      <w:r>
        <w:t>EKS-4001 / EKS-4001W – element kontrolno-sterujący.</w:t>
      </w:r>
    </w:p>
    <w:p w14:paraId="31DCEEB2" w14:textId="77777777" w:rsidR="006A0242" w:rsidRDefault="006A0242" w:rsidP="006A0242"/>
    <w:p w14:paraId="255FDB02" w14:textId="77777777" w:rsidR="00A7674A" w:rsidRDefault="00A7674A" w:rsidP="006A0242"/>
    <w:p w14:paraId="620409ED" w14:textId="77777777" w:rsidR="00A7674A" w:rsidRDefault="00A7674A" w:rsidP="006A0242"/>
    <w:p w14:paraId="28BB077D" w14:textId="77777777" w:rsidR="006A0242" w:rsidRDefault="006A0242" w:rsidP="006A0242"/>
    <w:p w14:paraId="2A1B08E0" w14:textId="757EDCA6" w:rsidR="006A0242" w:rsidRDefault="006A0242" w:rsidP="006A0242">
      <w:r>
        <w:t>Centrale pożarowe:</w:t>
      </w:r>
    </w:p>
    <w:p w14:paraId="6A303145" w14:textId="77777777" w:rsidR="006A0242" w:rsidRDefault="006A0242" w:rsidP="006A0242"/>
    <w:p w14:paraId="55DF113C" w14:textId="10A35E5B" w:rsidR="006A0242" w:rsidRDefault="006A0242" w:rsidP="006A0242">
      <w:r>
        <w:t>•</w:t>
      </w:r>
      <w:r>
        <w:tab/>
        <w:t>POLON 4900 -  centrala sygnalizacji pożarowej, przeznaczona do :</w:t>
      </w:r>
      <w:r w:rsidR="00A7674A">
        <w:t xml:space="preserve"> zintegrować poprzez styki NO, NC z </w:t>
      </w:r>
      <w:proofErr w:type="spellStart"/>
      <w:r w:rsidR="00A7674A">
        <w:t>istn</w:t>
      </w:r>
      <w:proofErr w:type="spellEnd"/>
      <w:r w:rsidR="00A7674A">
        <w:t xml:space="preserve">. Centralą SSP POLON 4200, </w:t>
      </w:r>
    </w:p>
    <w:p w14:paraId="69A51D96" w14:textId="5490D29F" w:rsidR="006A0242" w:rsidRDefault="006A0242" w:rsidP="00A7674A">
      <w:pPr>
        <w:ind w:left="360" w:firstLine="0"/>
      </w:pPr>
      <w:r>
        <w:t>sygnalizowania o źródle pożaru, wykrytym przez współpracujące ostrzegacze pożarowe (automatyczne i ręczne),</w:t>
      </w:r>
    </w:p>
    <w:p w14:paraId="7E6CE7D1" w14:textId="4BE6EB5F" w:rsidR="006A0242" w:rsidRDefault="00A7674A" w:rsidP="006A0242">
      <w:r>
        <w:t>•</w:t>
      </w:r>
      <w:r>
        <w:t xml:space="preserve"> </w:t>
      </w:r>
      <w:r w:rsidR="006A0242">
        <w:t>wskazania miejsca zagrożonego pożarem, wysterowania przeciwpożarowych urządzeń zabezpieczających,</w:t>
      </w:r>
    </w:p>
    <w:p w14:paraId="33064572" w14:textId="6119F9D7" w:rsidR="006A0242" w:rsidRDefault="00A7674A" w:rsidP="006A0242">
      <w:r>
        <w:t>•</w:t>
      </w:r>
      <w:r w:rsidR="006A0242">
        <w:tab/>
        <w:t>przekazania informacji o pożarze do właściwych służb, np. PSP.</w:t>
      </w:r>
    </w:p>
    <w:p w14:paraId="12A2FE75" w14:textId="77777777" w:rsidR="006A0242" w:rsidRDefault="006A0242" w:rsidP="006A0242"/>
    <w:p w14:paraId="12089264" w14:textId="77777777" w:rsidR="006A0242" w:rsidRDefault="006A0242" w:rsidP="006A0242">
      <w:r>
        <w:t>Przystosowana jest do pracy ciągłej w pomieszczeniach o małym zapyleniu, w zakresie temperatur od - 5 °C do + 40 °C i przy wilgotności względnej powietrza do 80 % przy + 40 °C.</w:t>
      </w:r>
    </w:p>
    <w:p w14:paraId="6DE4CF88" w14:textId="77777777" w:rsidR="006A0242" w:rsidRDefault="006A0242" w:rsidP="006A0242"/>
    <w:p w14:paraId="7DFA8000" w14:textId="77777777" w:rsidR="006A0242" w:rsidRDefault="006A0242" w:rsidP="006A0242">
      <w:r>
        <w:t>Wykonana jest w postaci metalowej szafki, przeznaczonej do instalowania na ścianie przy pomocy specjalnej ramy. Drzwi szafki, będące jednocześnie płytą czołową centrali, są zamykane na zamek bębenkowy. Na drzwiach centrali rozmieszczone są wszystkie elementy sygnalizacyjne i manipulacyjne. Wewnątrz centrali na dnie po lewej stronie można umieścić parę akumulatorów 12 V o pojemności 17 Ah. Opcjonalnie może być wyposażona w pojemnik PAR-4800, o wymiarach pozwalających na umieszczenie</w:t>
      </w:r>
    </w:p>
    <w:p w14:paraId="0E0D79E9" w14:textId="77777777" w:rsidR="006A0242" w:rsidRDefault="006A0242" w:rsidP="006A0242">
      <w:r>
        <w:t xml:space="preserve">2 szt. akumulatorów 12 V o pojemności do 44 Ah lub pojemnik OA-62, o wymiarach pozwalających na umieszczenie 2 szt. akumulatorów 12 V o pojemności do 90 Ah. </w:t>
      </w:r>
    </w:p>
    <w:p w14:paraId="360AA780" w14:textId="77777777" w:rsidR="006A0242" w:rsidRDefault="006A0242" w:rsidP="006A0242">
      <w:r>
        <w:lastRenderedPageBreak/>
        <w:t>Wyposażona jest w 4 lub 8 pętli adresowalnych z możliwością zainstalowania do 127 elementów adresowalnych w każdej pętli. Dodatkowo kontrolowane jest i sygnalizowane przekroczenie dopuszczalnych parametrów rezystancji i pojemności przewodów linii dozorowej. W centrali można utworzyć programowo do 1024 strefy dozorowe, którym można przyporządkować dowolne komunikaty użytkownika, składające się z dwóch 32 znakowych linii tekstu.</w:t>
      </w:r>
    </w:p>
    <w:p w14:paraId="51C8BAC2" w14:textId="77777777" w:rsidR="006A0242" w:rsidRDefault="006A0242" w:rsidP="006A0242">
      <w:r>
        <w:t>W przypadku alarmu komunikaty te pojawią się na wyświetlaczu centrali, pozwalając obsłudze na szybką</w:t>
      </w:r>
    </w:p>
    <w:p w14:paraId="1CB1757A" w14:textId="77777777" w:rsidR="006A0242" w:rsidRDefault="006A0242" w:rsidP="006A0242">
      <w:r>
        <w:t>i precyzyjną lokalizację źródła pożaru. Dla każdej strefy dozorowej można zaprogramować jeden z 17 wariantów alarmowania umożliwiających:</w:t>
      </w:r>
    </w:p>
    <w:p w14:paraId="5EF48A5B" w14:textId="77777777" w:rsidR="006A0242" w:rsidRDefault="006A0242" w:rsidP="006A0242">
      <w:r>
        <w:t>o</w:t>
      </w:r>
      <w:r>
        <w:tab/>
        <w:t>alarmowanie zwykłe jedno i dwustopniowe,</w:t>
      </w:r>
    </w:p>
    <w:p w14:paraId="666CB85F" w14:textId="77777777" w:rsidR="006A0242" w:rsidRDefault="006A0242" w:rsidP="006A0242">
      <w:r>
        <w:t>o</w:t>
      </w:r>
      <w:r>
        <w:tab/>
        <w:t>alarmowanie z jednokrotnym kasowaniem elementu 40 s/60 s jedno i dwustopniowe,</w:t>
      </w:r>
    </w:p>
    <w:p w14:paraId="73EA0341" w14:textId="77777777" w:rsidR="006A0242" w:rsidRDefault="006A0242" w:rsidP="006A0242">
      <w:r>
        <w:t>o</w:t>
      </w:r>
      <w:r>
        <w:tab/>
        <w:t>alarmowanie z jednokrotnym kasowaniem elementu 60 s/8 min. jedno i dwustopniowe,</w:t>
      </w:r>
    </w:p>
    <w:p w14:paraId="738BC048" w14:textId="77777777" w:rsidR="006A0242" w:rsidRDefault="006A0242" w:rsidP="006A0242">
      <w:r>
        <w:t>o</w:t>
      </w:r>
      <w:r>
        <w:tab/>
        <w:t xml:space="preserve">alarmowanie z koincydencją </w:t>
      </w:r>
      <w:proofErr w:type="spellStart"/>
      <w:r>
        <w:t>dwuczujkową</w:t>
      </w:r>
      <w:proofErr w:type="spellEnd"/>
      <w:r>
        <w:t xml:space="preserve"> jedno i dwustopniowe,</w:t>
      </w:r>
    </w:p>
    <w:p w14:paraId="535C8B1B" w14:textId="77777777" w:rsidR="006A0242" w:rsidRDefault="006A0242" w:rsidP="006A0242">
      <w:r>
        <w:t>o</w:t>
      </w:r>
      <w:r>
        <w:tab/>
        <w:t>alarmowanie z koincydencją grupowo-czasową jedno i dwustopniowe,</w:t>
      </w:r>
    </w:p>
    <w:p w14:paraId="20517BE1" w14:textId="77777777" w:rsidR="006A0242" w:rsidRDefault="006A0242" w:rsidP="006A0242">
      <w:r>
        <w:t>o</w:t>
      </w:r>
      <w:r>
        <w:tab/>
        <w:t>alarmowanie jedno i dwustopniowe interaktywne,</w:t>
      </w:r>
    </w:p>
    <w:p w14:paraId="710A1DE2" w14:textId="77777777" w:rsidR="006A0242" w:rsidRDefault="006A0242" w:rsidP="006A0242">
      <w:r>
        <w:t>o</w:t>
      </w:r>
      <w:r>
        <w:tab/>
        <w:t>alarmowanie dwustopniowe ze współzależnością grupową,</w:t>
      </w:r>
    </w:p>
    <w:p w14:paraId="2C295B51" w14:textId="77777777" w:rsidR="006A0242" w:rsidRDefault="006A0242" w:rsidP="006A0242">
      <w:r>
        <w:t>o</w:t>
      </w:r>
      <w:r>
        <w:tab/>
        <w:t>alarmowanie jednostopniowe w trybie pracy „Personel nieobecny”.</w:t>
      </w:r>
    </w:p>
    <w:p w14:paraId="49A101C6" w14:textId="77777777" w:rsidR="006A0242" w:rsidRDefault="006A0242" w:rsidP="006A0242"/>
    <w:p w14:paraId="40CDF07B" w14:textId="77777777" w:rsidR="006A0242" w:rsidRDefault="006A0242" w:rsidP="006A0242">
      <w:r>
        <w:t>Centrala posiada:</w:t>
      </w:r>
    </w:p>
    <w:p w14:paraId="378F7993" w14:textId="77777777" w:rsidR="006A0242" w:rsidRDefault="006A0242" w:rsidP="006A0242">
      <w:r>
        <w:t>o</w:t>
      </w:r>
      <w:r>
        <w:tab/>
        <w:t>4 poziomy dostępu obsługi,</w:t>
      </w:r>
    </w:p>
    <w:p w14:paraId="1637BC8B" w14:textId="77777777" w:rsidR="006A0242" w:rsidRDefault="006A0242" w:rsidP="006A0242">
      <w:r>
        <w:t>o</w:t>
      </w:r>
      <w:r>
        <w:tab/>
        <w:t>możliwość przywracania fabrycznych haseł dostępu bez użycia dodatkowych urządzeń, zabezpieczeń lub innych haseł,</w:t>
      </w:r>
    </w:p>
    <w:p w14:paraId="7348E68D" w14:textId="77777777" w:rsidR="006A0242" w:rsidRDefault="006A0242" w:rsidP="006A0242">
      <w:r>
        <w:t>o</w:t>
      </w:r>
      <w:r>
        <w:tab/>
        <w:t>pamięć wewnętrzną o pojemności do 2000 zdarzeń i 9999 alarmów,</w:t>
      </w:r>
    </w:p>
    <w:p w14:paraId="4EC1A90E" w14:textId="77777777" w:rsidR="006A0242" w:rsidRDefault="006A0242" w:rsidP="006A0242">
      <w:r>
        <w:t>o</w:t>
      </w:r>
      <w:r>
        <w:tab/>
        <w:t>możliwość podłączenia do 16 terminali wyniesionych TSR-4000,</w:t>
      </w:r>
    </w:p>
    <w:p w14:paraId="767F6569" w14:textId="77777777" w:rsidR="006A0242" w:rsidRDefault="006A0242" w:rsidP="006A0242">
      <w:r>
        <w:t>o</w:t>
      </w:r>
      <w:r>
        <w:tab/>
        <w:t>możliwość połączenia ze sobą do 31 central POLON 4500 i/lub POLON 4900 tworzących sieć pierścieniową o strukturze hierarchicznej  pozwalającą na obsłużenie instalacji liczącej ponad 31 000 punktów,</w:t>
      </w:r>
    </w:p>
    <w:p w14:paraId="1062597E" w14:textId="77777777" w:rsidR="006A0242" w:rsidRDefault="006A0242" w:rsidP="006A0242">
      <w:r>
        <w:t>o</w:t>
      </w:r>
      <w:r>
        <w:tab/>
        <w:t xml:space="preserve">możliwość podłączenia komputera w celu wizualizacji stanu centrali w formie graficznej na ekranie komputera poprzez protokół PMC-4000 / </w:t>
      </w:r>
      <w:proofErr w:type="spellStart"/>
      <w:r>
        <w:t>ModBus</w:t>
      </w:r>
      <w:proofErr w:type="spellEnd"/>
      <w:r>
        <w:t xml:space="preserve"> RTU / </w:t>
      </w:r>
      <w:proofErr w:type="spellStart"/>
      <w:r>
        <w:t>BACnet</w:t>
      </w:r>
      <w:proofErr w:type="spellEnd"/>
      <w:r>
        <w:t xml:space="preserve"> MS/TP przy pomocy odpowiedniego oprogramowania.</w:t>
      </w:r>
    </w:p>
    <w:p w14:paraId="2810036D" w14:textId="77777777" w:rsidR="006A0242" w:rsidRDefault="006A0242" w:rsidP="006A0242"/>
    <w:p w14:paraId="09603F79" w14:textId="77777777" w:rsidR="006A0242" w:rsidRDefault="006A0242" w:rsidP="006A0242">
      <w:r>
        <w:t>Wyposażenie centrali:</w:t>
      </w:r>
    </w:p>
    <w:p w14:paraId="4C6FB463" w14:textId="77777777" w:rsidR="006A0242" w:rsidRDefault="006A0242" w:rsidP="006A0242">
      <w:r>
        <w:t>•</w:t>
      </w:r>
      <w:r>
        <w:tab/>
        <w:t xml:space="preserve">16 nadzorowanych przekaźników z </w:t>
      </w:r>
      <w:proofErr w:type="spellStart"/>
      <w:r>
        <w:t>bezpotencjałowymi</w:t>
      </w:r>
      <w:proofErr w:type="spellEnd"/>
      <w:r>
        <w:t xml:space="preserve"> stykami </w:t>
      </w:r>
      <w:proofErr w:type="spellStart"/>
      <w:r>
        <w:t>przełącznymi</w:t>
      </w:r>
      <w:proofErr w:type="spellEnd"/>
      <w:r>
        <w:t xml:space="preserve"> 1 A / 30 V,</w:t>
      </w:r>
    </w:p>
    <w:p w14:paraId="746812FA" w14:textId="77777777" w:rsidR="006A0242" w:rsidRDefault="006A0242" w:rsidP="006A0242">
      <w:r>
        <w:lastRenderedPageBreak/>
        <w:t>•</w:t>
      </w:r>
      <w:r>
        <w:tab/>
        <w:t>2 nadzorowana linia sygnałowa 0,5 A / 24 V,</w:t>
      </w:r>
    </w:p>
    <w:p w14:paraId="57ACF8EE" w14:textId="77777777" w:rsidR="006A0242" w:rsidRDefault="006A0242" w:rsidP="006A0242">
      <w:r>
        <w:t>•</w:t>
      </w:r>
      <w:r>
        <w:tab/>
        <w:t>6 nadzorowanych linii sygnałowych 0,1 A / 24 V,</w:t>
      </w:r>
    </w:p>
    <w:p w14:paraId="21D6A2E5" w14:textId="77777777" w:rsidR="006A0242" w:rsidRDefault="006A0242" w:rsidP="006A0242">
      <w:r>
        <w:t>•</w:t>
      </w:r>
      <w:r>
        <w:tab/>
        <w:t>8 nadzorowanych linii kontrolnych,</w:t>
      </w:r>
    </w:p>
    <w:p w14:paraId="4233FC44" w14:textId="77777777" w:rsidR="006A0242" w:rsidRDefault="006A0242" w:rsidP="006A0242">
      <w:r>
        <w:t>•</w:t>
      </w:r>
      <w:r>
        <w:tab/>
        <w:t>2 porty szeregowe (RS232, RS485),</w:t>
      </w:r>
    </w:p>
    <w:p w14:paraId="5F6184B5" w14:textId="77777777" w:rsidR="006A0242" w:rsidRDefault="006A0242" w:rsidP="006A0242">
      <w:r>
        <w:t>•</w:t>
      </w:r>
      <w:r>
        <w:tab/>
        <w:t>1 port USB do konfiguracji systemu,</w:t>
      </w:r>
    </w:p>
    <w:p w14:paraId="3B2D02F3" w14:textId="77777777" w:rsidR="006A0242" w:rsidRDefault="006A0242" w:rsidP="006A0242">
      <w:r>
        <w:t>•</w:t>
      </w:r>
      <w:r>
        <w:tab/>
        <w:t>1 port PS/2 do podłączenia klawiatury lub czytnika kodów kreskowych,</w:t>
      </w:r>
    </w:p>
    <w:p w14:paraId="48D6ED08" w14:textId="77777777" w:rsidR="006A0242" w:rsidRDefault="006A0242" w:rsidP="006A0242">
      <w:r>
        <w:t>•</w:t>
      </w:r>
      <w:r>
        <w:tab/>
        <w:t>wbudowana drukarka termiczna.</w:t>
      </w:r>
    </w:p>
    <w:p w14:paraId="7850340E" w14:textId="77777777" w:rsidR="006A0242" w:rsidRDefault="006A0242" w:rsidP="006A0242"/>
    <w:p w14:paraId="37E9E95C" w14:textId="77777777" w:rsidR="006A0242" w:rsidRDefault="006A0242" w:rsidP="006A0242"/>
    <w:p w14:paraId="23AA3408" w14:textId="77777777" w:rsidR="006A0242" w:rsidRDefault="006A0242" w:rsidP="006A0242">
      <w:r>
        <w:t>•</w:t>
      </w:r>
      <w:r>
        <w:tab/>
        <w:t>UCS 6000 – uniwersalna centrala sterująca, przeznaczona do:</w:t>
      </w:r>
    </w:p>
    <w:p w14:paraId="539AE6EE" w14:textId="77777777" w:rsidR="006A0242" w:rsidRDefault="006A0242" w:rsidP="006A0242">
      <w:r>
        <w:t>Uruchamiania urządzeń przeciwpożarowych, służących do oddymiania grawitacyjnego i mechanicznego (klapy przeciwpożarowe oddymiające i odcinające), oraz dziennego przewietrzania.</w:t>
      </w:r>
    </w:p>
    <w:p w14:paraId="789A11FF" w14:textId="77777777" w:rsidR="006A0242" w:rsidRDefault="006A0242" w:rsidP="006A0242">
      <w:r>
        <w:t>Przystosowana jest do pracy ciągłej w pomieszczeniach o małym zapyleniu, w zakresie temperatur</w:t>
      </w:r>
    </w:p>
    <w:p w14:paraId="49B16629" w14:textId="77777777" w:rsidR="006A0242" w:rsidRDefault="006A0242" w:rsidP="006A0242">
      <w:r>
        <w:t xml:space="preserve">od - 10 °C do + 55 °C i przy wilgotności względnej powietrza do 80 % przy + 55 °C. </w:t>
      </w:r>
    </w:p>
    <w:p w14:paraId="35A91CEB" w14:textId="77777777" w:rsidR="006A0242" w:rsidRDefault="006A0242" w:rsidP="006A0242"/>
    <w:p w14:paraId="33C73E09" w14:textId="77777777" w:rsidR="006A0242" w:rsidRDefault="006A0242" w:rsidP="006A0242">
      <w:r>
        <w:t>Umożliwia:</w:t>
      </w:r>
    </w:p>
    <w:p w14:paraId="7DA3B0DD" w14:textId="77777777" w:rsidR="006A0242" w:rsidRDefault="006A0242" w:rsidP="006A0242">
      <w:r>
        <w:t>o</w:t>
      </w:r>
      <w:r>
        <w:tab/>
        <w:t>wykrywanie pożaru (zadymienia),</w:t>
      </w:r>
    </w:p>
    <w:p w14:paraId="0BC50713" w14:textId="77777777" w:rsidR="006A0242" w:rsidRDefault="006A0242" w:rsidP="006A0242">
      <w:r>
        <w:t>o</w:t>
      </w:r>
      <w:r>
        <w:tab/>
        <w:t xml:space="preserve">uruchamianie automatyczne lub ręczne urządzeń przeciwpożarowych, instalowanych w systemach oddymiania, </w:t>
      </w:r>
    </w:p>
    <w:p w14:paraId="20AD0FE3" w14:textId="77777777" w:rsidR="006A0242" w:rsidRDefault="006A0242" w:rsidP="006A0242">
      <w:r>
        <w:t>o</w:t>
      </w:r>
      <w:r>
        <w:tab/>
        <w:t>sygnalizowanie akustyczne i optyczne stanów pracy urządzeń (alarm, uszkodzenie),</w:t>
      </w:r>
    </w:p>
    <w:p w14:paraId="2A4742D8" w14:textId="77777777" w:rsidR="006A0242" w:rsidRDefault="006A0242" w:rsidP="006A0242">
      <w:r>
        <w:t>o</w:t>
      </w:r>
      <w:r>
        <w:tab/>
        <w:t>automatyczną kontrolę zadziałania urządzeń przeciwpożarowych i wykonawczych (siłowniki, elektromagnesy, wentylatory itp.) systemu oddymiania,</w:t>
      </w:r>
    </w:p>
    <w:p w14:paraId="0ADC27F9" w14:textId="77777777" w:rsidR="006A0242" w:rsidRDefault="006A0242" w:rsidP="006A0242">
      <w:r>
        <w:t>o</w:t>
      </w:r>
      <w:r>
        <w:tab/>
        <w:t>automatyczną kontrolę własnych układów i obwodów centrali,</w:t>
      </w:r>
    </w:p>
    <w:p w14:paraId="3AF62438" w14:textId="77777777" w:rsidR="006A0242" w:rsidRDefault="006A0242" w:rsidP="006A0242">
      <w:r>
        <w:t>o</w:t>
      </w:r>
      <w:r>
        <w:tab/>
        <w:t>przekazywanie podstawowych informacji do systemów nadrzędnych (np. systemu POLON 3000/4000/6000, systemu IGNIS 2000 lub innych) o alarmie, uszkodzeniu, stanie urządzeń przeciwpożarowych i wykonawczych,</w:t>
      </w:r>
    </w:p>
    <w:p w14:paraId="0FD84AFE" w14:textId="77777777" w:rsidR="006A0242" w:rsidRDefault="006A0242" w:rsidP="006A0242">
      <w:r>
        <w:t>o</w:t>
      </w:r>
      <w:r>
        <w:tab/>
        <w:t>możliwość utworzenia powiązań uruchomienia wyjść w ramach analizy stanu wejść alarmowych</w:t>
      </w:r>
    </w:p>
    <w:p w14:paraId="77C1B329" w14:textId="77777777" w:rsidR="006A0242" w:rsidRDefault="006A0242" w:rsidP="006A0242">
      <w:r>
        <w:t>i rozkazów sterujących systemu POLON 4000 w ramach połączenia A.COM 6.0.</w:t>
      </w:r>
    </w:p>
    <w:p w14:paraId="2DF0051D" w14:textId="77777777" w:rsidR="00A7674A" w:rsidRDefault="00A7674A" w:rsidP="00A7674A">
      <w:pPr>
        <w:pStyle w:val="Nagwek1"/>
        <w:numPr>
          <w:ilvl w:val="0"/>
          <w:numId w:val="0"/>
        </w:numPr>
        <w:spacing w:after="209"/>
        <w:ind w:left="345" w:right="153"/>
      </w:pPr>
    </w:p>
    <w:p w14:paraId="3DDB3D35" w14:textId="66678F44" w:rsidR="00D33D22" w:rsidRPr="00022131" w:rsidRDefault="002540D1">
      <w:pPr>
        <w:pStyle w:val="Nagwek1"/>
        <w:spacing w:after="209"/>
        <w:ind w:left="345" w:right="153" w:hanging="360"/>
      </w:pPr>
      <w:bookmarkStart w:id="13" w:name="_Toc139618016"/>
      <w:r w:rsidRPr="00022131">
        <w:t>SPRZĘT</w:t>
      </w:r>
      <w:bookmarkEnd w:id="13"/>
      <w:r w:rsidRPr="00022131">
        <w:t xml:space="preserve"> </w:t>
      </w:r>
    </w:p>
    <w:p w14:paraId="1EC7EF99" w14:textId="77777777" w:rsidR="00D33D22" w:rsidRPr="00022131" w:rsidRDefault="002540D1">
      <w:pPr>
        <w:spacing w:after="213" w:line="391" w:lineRule="auto"/>
        <w:ind w:left="0" w:firstLine="708"/>
      </w:pPr>
      <w:r w:rsidRPr="00022131">
        <w:t xml:space="preserve">Sprzęt powinien odpowiadać ogólnie przyjętym wymaganiom w zakresie jakości i wytrzymałości oraz powinien posiadać wymagane parametry techniczne. Powinien być ustawiony zgodnie z wymaganiami producenta oraz stosowany zgodnie z ich przeznaczeniem. Elektronarzędzia (wiertarki, wiertarki udarowe, bruzdownice itp.) można uruchomić dopiero po uprzednim zbadaniu ich stanu technicznego i właściwego działania. Należy je zabezpieczyć przed możliwością uruchomienia przez osoby niepowołane. </w:t>
      </w:r>
    </w:p>
    <w:p w14:paraId="773F9626" w14:textId="77777777" w:rsidR="00D33D22" w:rsidRPr="00022131" w:rsidRDefault="002540D1">
      <w:pPr>
        <w:pStyle w:val="Nagwek1"/>
        <w:spacing w:after="212"/>
        <w:ind w:left="345" w:right="153" w:hanging="360"/>
      </w:pPr>
      <w:bookmarkStart w:id="14" w:name="_Toc139618017"/>
      <w:r w:rsidRPr="00022131">
        <w:t>TRANSPORT I PRZECHOWYWANIE</w:t>
      </w:r>
      <w:bookmarkEnd w:id="14"/>
      <w:r w:rsidRPr="00022131">
        <w:t xml:space="preserve"> </w:t>
      </w:r>
    </w:p>
    <w:p w14:paraId="5D701A47" w14:textId="77777777" w:rsidR="00D33D22" w:rsidRPr="00022131" w:rsidRDefault="002540D1">
      <w:pPr>
        <w:spacing w:line="397" w:lineRule="auto"/>
        <w:ind w:left="0" w:firstLine="708"/>
      </w:pPr>
      <w:r w:rsidRPr="00022131">
        <w:t xml:space="preserve">Podczas transportu na budowę oraz na stanowisko robocze należy zachować ostrożność aby nie uszkodzić materiałów. Transport oraz przechowywanie urządzeń może odbywać się tylko i wyłącznie zgodnie z zaleceniami producenta urządzenia. </w:t>
      </w:r>
    </w:p>
    <w:p w14:paraId="40EF0C37" w14:textId="6C00E21B" w:rsidR="00372CE7" w:rsidRPr="00022131" w:rsidRDefault="002540D1" w:rsidP="00372CE7">
      <w:pPr>
        <w:spacing w:after="204" w:line="399" w:lineRule="auto"/>
        <w:ind w:left="0" w:firstLine="0"/>
      </w:pPr>
      <w:r w:rsidRPr="00022131">
        <w:t xml:space="preserve">Zaleca się dostarczenie urządzeń i aparatów na stanowisko montażu bezpośrednio przed montażem, w celu uniknięcia dodatkowego transportu wewnętrznego lub problemów związanych z przechowywaniem. </w:t>
      </w:r>
    </w:p>
    <w:p w14:paraId="2A594ABB" w14:textId="77777777" w:rsidR="00D33D22" w:rsidRPr="00022131" w:rsidRDefault="002540D1">
      <w:pPr>
        <w:pStyle w:val="Nagwek1"/>
        <w:spacing w:after="213"/>
        <w:ind w:left="345" w:right="153" w:hanging="360"/>
      </w:pPr>
      <w:bookmarkStart w:id="15" w:name="_Toc139618018"/>
      <w:r w:rsidRPr="00022131">
        <w:t>WYKONANIE ROBÓT</w:t>
      </w:r>
      <w:bookmarkEnd w:id="15"/>
      <w:r w:rsidRPr="00022131">
        <w:t xml:space="preserve"> </w:t>
      </w:r>
    </w:p>
    <w:p w14:paraId="3E94A59A" w14:textId="77777777" w:rsidR="00D33D22" w:rsidRPr="00022131" w:rsidRDefault="002540D1">
      <w:pPr>
        <w:spacing w:after="215" w:line="389" w:lineRule="auto"/>
        <w:ind w:left="0" w:firstLine="708"/>
      </w:pPr>
      <w:r w:rsidRPr="00022131">
        <w:t xml:space="preserve">Wykonawca jest odpowiedzialny za prowadzenie robót zgodnie z umową lub kontraktem, za ich zgodność z dokumentacją projektową i wymaganiami specyfikacji technicznych oraz projektem organizacji robót. Wszystkie roboty muszą być wykonane przez wykwalifikowanych pracowników stosownie do rodzaju robót i kierowane przez osoby posiadające odpowiednie uprawnienia wymagane przez Prawo Budowlane. </w:t>
      </w:r>
    </w:p>
    <w:p w14:paraId="67A1CB3A" w14:textId="77777777" w:rsidR="00D33D22" w:rsidRPr="00022131" w:rsidRDefault="002540D1">
      <w:pPr>
        <w:pStyle w:val="Nagwek2"/>
        <w:spacing w:after="213"/>
        <w:ind w:left="792" w:right="153" w:hanging="432"/>
      </w:pPr>
      <w:bookmarkStart w:id="16" w:name="_Toc139618019"/>
      <w:r w:rsidRPr="00022131">
        <w:t>Wykonanie tras kablowych, układanie przewodów</w:t>
      </w:r>
      <w:bookmarkEnd w:id="16"/>
      <w:r w:rsidRPr="00022131">
        <w:t xml:space="preserve"> </w:t>
      </w:r>
    </w:p>
    <w:p w14:paraId="2719332E" w14:textId="0F316466" w:rsidR="002C59FC" w:rsidRPr="00022131" w:rsidRDefault="002540D1" w:rsidP="00372CE7">
      <w:pPr>
        <w:spacing w:after="9" w:line="391" w:lineRule="auto"/>
        <w:ind w:left="360" w:firstLine="708"/>
      </w:pPr>
      <w:r w:rsidRPr="00022131">
        <w:t xml:space="preserve">Trasy kablowe </w:t>
      </w:r>
      <w:r w:rsidR="00A7674A">
        <w:t>instalacji SSP</w:t>
      </w:r>
      <w:r w:rsidRPr="00022131">
        <w:t xml:space="preserve"> wykonać natynkowo w kanałach teletechnicznych</w:t>
      </w:r>
      <w:r w:rsidR="003C4C1E" w:rsidRPr="00022131">
        <w:t xml:space="preserve"> oraz w korytach kablowych zgodnie z projektem</w:t>
      </w:r>
      <w:r w:rsidR="00A7674A">
        <w:t xml:space="preserve"> lub podtynkowo </w:t>
      </w:r>
      <w:r w:rsidRPr="00022131">
        <w:t xml:space="preserve">. Przewody dla instalacji </w:t>
      </w:r>
      <w:r w:rsidR="00A7674A">
        <w:t>SSP</w:t>
      </w:r>
      <w:r w:rsidRPr="00022131">
        <w:t xml:space="preserve">, w częściach obiektu, w których będzie występował sufit G-K przewody można układać </w:t>
      </w:r>
      <w:r w:rsidR="00EE4042" w:rsidRPr="00022131">
        <w:t>w korytach</w:t>
      </w:r>
      <w:r w:rsidRPr="00022131">
        <w:t xml:space="preserve"> i listwach teletechnicznych lub na uchwytach </w:t>
      </w:r>
      <w:proofErr w:type="spellStart"/>
      <w:r w:rsidRPr="00022131">
        <w:t>odstępowych</w:t>
      </w:r>
      <w:proofErr w:type="spellEnd"/>
      <w:r w:rsidRPr="00022131">
        <w:t xml:space="preserve">. W miejscach, gdzie nie ma sufitu podwieszonego, przewody układać podtynkowo w bruzdach. Do wykonania tras kablowych dla przewodów będących w klasie odporności ogniowej </w:t>
      </w:r>
      <w:r w:rsidRPr="00022131">
        <w:lastRenderedPageBreak/>
        <w:t xml:space="preserve">stosować specjalne uchwyty określone w świadectwie dopuszczenia lub innym ateście instalowanych przewodów. Na przejściach przez ściany i stropy, w szczególności między strefami pożarowymi, o ile to konieczne, wykonać uszczelnienia ogniowe. </w:t>
      </w:r>
    </w:p>
    <w:p w14:paraId="46310F87" w14:textId="77777777" w:rsidR="002C59FC" w:rsidRPr="00022131" w:rsidRDefault="002540D1" w:rsidP="002C59FC">
      <w:pPr>
        <w:spacing w:after="9" w:line="391" w:lineRule="auto"/>
        <w:ind w:left="360" w:hanging="76"/>
      </w:pPr>
      <w:r w:rsidRPr="00022131">
        <w:rPr>
          <w:b/>
        </w:rPr>
        <w:t xml:space="preserve">Montaż rur </w:t>
      </w:r>
      <w:r w:rsidR="00EE4042" w:rsidRPr="00022131">
        <w:rPr>
          <w:b/>
        </w:rPr>
        <w:t>i koryt</w:t>
      </w:r>
      <w:r w:rsidRPr="00022131">
        <w:rPr>
          <w:b/>
        </w:rPr>
        <w:t xml:space="preserve"> sztywnych, wciąganie przewodów/kabli</w:t>
      </w:r>
      <w:r w:rsidRPr="00022131">
        <w:t xml:space="preserve"> </w:t>
      </w:r>
    </w:p>
    <w:p w14:paraId="44FE5872" w14:textId="36A07EE6" w:rsidR="00D33D22" w:rsidRPr="00022131" w:rsidRDefault="002540D1" w:rsidP="002C59FC">
      <w:pPr>
        <w:spacing w:after="9" w:line="391" w:lineRule="auto"/>
        <w:ind w:left="360" w:hanging="76"/>
      </w:pPr>
      <w:r w:rsidRPr="00022131">
        <w:t xml:space="preserve">Charakterystyka prac: </w:t>
      </w:r>
    </w:p>
    <w:p w14:paraId="6C93E83A" w14:textId="77777777" w:rsidR="00D33D22" w:rsidRPr="00022131" w:rsidRDefault="002540D1">
      <w:pPr>
        <w:numPr>
          <w:ilvl w:val="0"/>
          <w:numId w:val="8"/>
        </w:numPr>
        <w:ind w:hanging="360"/>
      </w:pPr>
      <w:r w:rsidRPr="00022131">
        <w:t xml:space="preserve">trasowanie </w:t>
      </w:r>
    </w:p>
    <w:p w14:paraId="0140D89C" w14:textId="77777777" w:rsidR="00D33D22" w:rsidRPr="00022131" w:rsidRDefault="002540D1">
      <w:pPr>
        <w:numPr>
          <w:ilvl w:val="0"/>
          <w:numId w:val="8"/>
        </w:numPr>
        <w:ind w:hanging="360"/>
      </w:pPr>
      <w:r w:rsidRPr="00022131">
        <w:t xml:space="preserve">przykręcenie uchwytów </w:t>
      </w:r>
    </w:p>
    <w:p w14:paraId="2FC27C90" w14:textId="77777777" w:rsidR="00D33D22" w:rsidRPr="00022131" w:rsidRDefault="002540D1">
      <w:pPr>
        <w:numPr>
          <w:ilvl w:val="0"/>
          <w:numId w:val="8"/>
        </w:numPr>
        <w:ind w:hanging="360"/>
      </w:pPr>
      <w:r w:rsidRPr="00022131">
        <w:t xml:space="preserve">odmierzenie i odcięcie rury </w:t>
      </w:r>
    </w:p>
    <w:p w14:paraId="53317A60" w14:textId="77777777" w:rsidR="00D33D22" w:rsidRPr="00022131" w:rsidRDefault="002540D1">
      <w:pPr>
        <w:numPr>
          <w:ilvl w:val="0"/>
          <w:numId w:val="8"/>
        </w:numPr>
        <w:ind w:hanging="360"/>
      </w:pPr>
      <w:r w:rsidRPr="00022131">
        <w:t xml:space="preserve">wykonanie połączenia rur złączką kompensacyjną </w:t>
      </w:r>
    </w:p>
    <w:p w14:paraId="2C30A6F4" w14:textId="77777777" w:rsidR="00D33D22" w:rsidRPr="00022131" w:rsidRDefault="002540D1">
      <w:pPr>
        <w:numPr>
          <w:ilvl w:val="0"/>
          <w:numId w:val="8"/>
        </w:numPr>
        <w:ind w:hanging="360"/>
      </w:pPr>
      <w:r w:rsidRPr="00022131">
        <w:t xml:space="preserve">wpięcie rur w uchwyty </w:t>
      </w:r>
    </w:p>
    <w:p w14:paraId="6181BA5A" w14:textId="77777777" w:rsidR="00D33D22" w:rsidRPr="00022131" w:rsidRDefault="002540D1">
      <w:pPr>
        <w:numPr>
          <w:ilvl w:val="0"/>
          <w:numId w:val="8"/>
        </w:numPr>
        <w:ind w:hanging="360"/>
      </w:pPr>
      <w:r w:rsidRPr="00022131">
        <w:t xml:space="preserve">odmierzenie i odcięcie przewodu </w:t>
      </w:r>
    </w:p>
    <w:p w14:paraId="48D6F51F" w14:textId="77777777" w:rsidR="00D33D22" w:rsidRPr="00022131" w:rsidRDefault="002540D1">
      <w:pPr>
        <w:numPr>
          <w:ilvl w:val="0"/>
          <w:numId w:val="8"/>
        </w:numPr>
        <w:ind w:hanging="360"/>
      </w:pPr>
      <w:r w:rsidRPr="00022131">
        <w:t xml:space="preserve">sprawdzenie drożności rury </w:t>
      </w:r>
    </w:p>
    <w:p w14:paraId="79868BB6" w14:textId="77777777" w:rsidR="00D33D22" w:rsidRPr="00022131" w:rsidRDefault="002540D1">
      <w:pPr>
        <w:numPr>
          <w:ilvl w:val="0"/>
          <w:numId w:val="8"/>
        </w:numPr>
        <w:ind w:hanging="360"/>
      </w:pPr>
      <w:r w:rsidRPr="00022131">
        <w:t xml:space="preserve">wciągnięcie przewodu </w:t>
      </w:r>
    </w:p>
    <w:p w14:paraId="39AAC313" w14:textId="35793509" w:rsidR="00D33D22" w:rsidRPr="00022131" w:rsidRDefault="002540D1">
      <w:pPr>
        <w:spacing w:after="52" w:line="354" w:lineRule="auto"/>
        <w:ind w:left="1078" w:right="153"/>
        <w:jc w:val="left"/>
      </w:pPr>
      <w:r w:rsidRPr="00022131">
        <w:rPr>
          <w:b/>
        </w:rPr>
        <w:t>Montaż kanałów teletechnicznych</w:t>
      </w:r>
      <w:r w:rsidR="00A7674A">
        <w:rPr>
          <w:b/>
        </w:rPr>
        <w:t xml:space="preserve"> CNBOP</w:t>
      </w:r>
      <w:r w:rsidRPr="00022131">
        <w:rPr>
          <w:b/>
        </w:rPr>
        <w:t>, układanie przewodów/kabli</w:t>
      </w:r>
      <w:r w:rsidRPr="00022131">
        <w:t xml:space="preserve"> Charakterystyka prac: </w:t>
      </w:r>
    </w:p>
    <w:p w14:paraId="670A706A" w14:textId="77777777" w:rsidR="00D33D22" w:rsidRPr="00022131" w:rsidRDefault="002540D1">
      <w:pPr>
        <w:numPr>
          <w:ilvl w:val="0"/>
          <w:numId w:val="8"/>
        </w:numPr>
        <w:ind w:hanging="360"/>
      </w:pPr>
      <w:r w:rsidRPr="00022131">
        <w:t xml:space="preserve">trasowanie </w:t>
      </w:r>
    </w:p>
    <w:p w14:paraId="16877B69" w14:textId="77777777" w:rsidR="00D33D22" w:rsidRPr="00022131" w:rsidRDefault="002540D1">
      <w:pPr>
        <w:numPr>
          <w:ilvl w:val="0"/>
          <w:numId w:val="8"/>
        </w:numPr>
        <w:ind w:hanging="360"/>
      </w:pPr>
      <w:r w:rsidRPr="00022131">
        <w:t xml:space="preserve">wiercenie otworów ślepych </w:t>
      </w:r>
    </w:p>
    <w:p w14:paraId="66962A02" w14:textId="77777777" w:rsidR="00D33D22" w:rsidRPr="00022131" w:rsidRDefault="002540D1">
      <w:pPr>
        <w:numPr>
          <w:ilvl w:val="0"/>
          <w:numId w:val="8"/>
        </w:numPr>
        <w:ind w:hanging="360"/>
      </w:pPr>
      <w:r w:rsidRPr="00022131">
        <w:t xml:space="preserve">osadzanie kołków rozporowych </w:t>
      </w:r>
    </w:p>
    <w:p w14:paraId="29D677C7" w14:textId="77777777" w:rsidR="00D33D22" w:rsidRPr="00022131" w:rsidRDefault="002540D1">
      <w:pPr>
        <w:numPr>
          <w:ilvl w:val="0"/>
          <w:numId w:val="8"/>
        </w:numPr>
        <w:ind w:hanging="360"/>
      </w:pPr>
      <w:r w:rsidRPr="00022131">
        <w:t xml:space="preserve">odmierzenie i odcięcie listwy </w:t>
      </w:r>
    </w:p>
    <w:p w14:paraId="23BDDA19" w14:textId="77777777" w:rsidR="00D33D22" w:rsidRPr="00022131" w:rsidRDefault="002540D1">
      <w:pPr>
        <w:numPr>
          <w:ilvl w:val="0"/>
          <w:numId w:val="8"/>
        </w:numPr>
        <w:ind w:hanging="360"/>
      </w:pPr>
      <w:r w:rsidRPr="00022131">
        <w:t xml:space="preserve">przykręcenie listwy za pomocą wkrętów do kołków rozporowych </w:t>
      </w:r>
    </w:p>
    <w:p w14:paraId="4564AB87" w14:textId="77777777" w:rsidR="00D33D22" w:rsidRPr="00022131" w:rsidRDefault="002540D1">
      <w:pPr>
        <w:numPr>
          <w:ilvl w:val="0"/>
          <w:numId w:val="8"/>
        </w:numPr>
        <w:ind w:hanging="360"/>
      </w:pPr>
      <w:r w:rsidRPr="00022131">
        <w:t xml:space="preserve">odmierzenie i odcięcie przewodu </w:t>
      </w:r>
    </w:p>
    <w:p w14:paraId="42152798" w14:textId="77777777" w:rsidR="00D33D22" w:rsidRPr="00022131" w:rsidRDefault="002540D1">
      <w:pPr>
        <w:numPr>
          <w:ilvl w:val="0"/>
          <w:numId w:val="8"/>
        </w:numPr>
        <w:ind w:hanging="360"/>
      </w:pPr>
      <w:r w:rsidRPr="00022131">
        <w:t xml:space="preserve">ułożenie przewodu w listwie </w:t>
      </w:r>
    </w:p>
    <w:p w14:paraId="409CCBFC" w14:textId="77777777" w:rsidR="00D33D22" w:rsidRPr="00022131" w:rsidRDefault="002540D1">
      <w:pPr>
        <w:numPr>
          <w:ilvl w:val="0"/>
          <w:numId w:val="8"/>
        </w:numPr>
        <w:ind w:hanging="360"/>
      </w:pPr>
      <w:r w:rsidRPr="00022131">
        <w:t xml:space="preserve">zamknięcie listwy nakładką </w:t>
      </w:r>
    </w:p>
    <w:p w14:paraId="5A4A4D40" w14:textId="2A6410D3" w:rsidR="00D33D22" w:rsidRPr="00022131" w:rsidRDefault="002540D1">
      <w:pPr>
        <w:spacing w:after="52" w:line="354" w:lineRule="auto"/>
        <w:ind w:left="1078" w:right="153"/>
        <w:jc w:val="left"/>
      </w:pPr>
      <w:r w:rsidRPr="00022131">
        <w:rPr>
          <w:b/>
        </w:rPr>
        <w:t xml:space="preserve">Montaż uchwytów </w:t>
      </w:r>
      <w:proofErr w:type="spellStart"/>
      <w:r w:rsidRPr="00022131">
        <w:rPr>
          <w:b/>
        </w:rPr>
        <w:t>ods</w:t>
      </w:r>
      <w:r w:rsidR="00EE4042" w:rsidRPr="00022131">
        <w:rPr>
          <w:b/>
        </w:rPr>
        <w:t>tę</w:t>
      </w:r>
      <w:r w:rsidRPr="00022131">
        <w:rPr>
          <w:b/>
        </w:rPr>
        <w:t>powych</w:t>
      </w:r>
      <w:proofErr w:type="spellEnd"/>
      <w:r w:rsidR="00A7674A">
        <w:rPr>
          <w:b/>
        </w:rPr>
        <w:t xml:space="preserve"> CNBOP </w:t>
      </w:r>
      <w:r w:rsidRPr="00022131">
        <w:rPr>
          <w:b/>
        </w:rPr>
        <w:t>, układanie przewodów/kabli</w:t>
      </w:r>
      <w:r w:rsidRPr="00022131">
        <w:t xml:space="preserve"> Charakterystyka prac: </w:t>
      </w:r>
    </w:p>
    <w:p w14:paraId="6F826DC2" w14:textId="77777777" w:rsidR="00D33D22" w:rsidRPr="00022131" w:rsidRDefault="002540D1">
      <w:pPr>
        <w:numPr>
          <w:ilvl w:val="0"/>
          <w:numId w:val="8"/>
        </w:numPr>
        <w:ind w:hanging="360"/>
      </w:pPr>
      <w:r w:rsidRPr="00022131">
        <w:t xml:space="preserve">trasowanie </w:t>
      </w:r>
    </w:p>
    <w:p w14:paraId="79B99FB0" w14:textId="77777777" w:rsidR="00D33D22" w:rsidRPr="00022131" w:rsidRDefault="002540D1">
      <w:pPr>
        <w:numPr>
          <w:ilvl w:val="0"/>
          <w:numId w:val="8"/>
        </w:numPr>
        <w:ind w:hanging="360"/>
      </w:pPr>
      <w:r w:rsidRPr="00022131">
        <w:t xml:space="preserve">wiercenie otworów ślepych </w:t>
      </w:r>
    </w:p>
    <w:p w14:paraId="613018A6" w14:textId="77777777" w:rsidR="00D33D22" w:rsidRPr="00022131" w:rsidRDefault="002540D1">
      <w:pPr>
        <w:numPr>
          <w:ilvl w:val="0"/>
          <w:numId w:val="8"/>
        </w:numPr>
        <w:ind w:hanging="360"/>
      </w:pPr>
      <w:r w:rsidRPr="00022131">
        <w:t xml:space="preserve">osadzanie śrub rozporowych </w:t>
      </w:r>
    </w:p>
    <w:p w14:paraId="0D2E7FEF" w14:textId="77777777" w:rsidR="00D33D22" w:rsidRPr="00022131" w:rsidRDefault="002540D1">
      <w:pPr>
        <w:numPr>
          <w:ilvl w:val="0"/>
          <w:numId w:val="8"/>
        </w:numPr>
        <w:ind w:hanging="360"/>
      </w:pPr>
      <w:r w:rsidRPr="00022131">
        <w:t xml:space="preserve">odmierzenie i odcięcie przewodu </w:t>
      </w:r>
    </w:p>
    <w:p w14:paraId="4BEEAF51" w14:textId="77777777" w:rsidR="00D33D22" w:rsidRPr="00022131" w:rsidRDefault="002540D1">
      <w:pPr>
        <w:numPr>
          <w:ilvl w:val="0"/>
          <w:numId w:val="8"/>
        </w:numPr>
        <w:spacing w:after="77"/>
        <w:ind w:hanging="360"/>
      </w:pPr>
      <w:r w:rsidRPr="00022131">
        <w:t xml:space="preserve">przykręcenie uchwytu z przewodem  </w:t>
      </w:r>
    </w:p>
    <w:p w14:paraId="1EC898CF" w14:textId="77777777" w:rsidR="00D33D22" w:rsidRPr="00022131" w:rsidRDefault="002540D1">
      <w:pPr>
        <w:spacing w:after="56" w:line="352" w:lineRule="auto"/>
        <w:ind w:left="1078" w:right="153"/>
        <w:jc w:val="left"/>
      </w:pPr>
      <w:r w:rsidRPr="00022131">
        <w:rPr>
          <w:b/>
        </w:rPr>
        <w:lastRenderedPageBreak/>
        <w:t>Wykonanie bruzd, układanie przewodów/kabli, zaprawienie bruzd</w:t>
      </w:r>
      <w:r w:rsidRPr="00022131">
        <w:t xml:space="preserve"> Charakterystyka prac: </w:t>
      </w:r>
    </w:p>
    <w:p w14:paraId="109B03A3" w14:textId="77777777" w:rsidR="00D33D22" w:rsidRPr="00022131" w:rsidRDefault="002540D1">
      <w:pPr>
        <w:numPr>
          <w:ilvl w:val="0"/>
          <w:numId w:val="8"/>
        </w:numPr>
        <w:ind w:hanging="360"/>
      </w:pPr>
      <w:r w:rsidRPr="00022131">
        <w:t xml:space="preserve">trasowanie </w:t>
      </w:r>
    </w:p>
    <w:p w14:paraId="25E72DCD" w14:textId="77777777" w:rsidR="00D33D22" w:rsidRPr="00022131" w:rsidRDefault="002540D1">
      <w:pPr>
        <w:numPr>
          <w:ilvl w:val="0"/>
          <w:numId w:val="8"/>
        </w:numPr>
        <w:ind w:hanging="360"/>
      </w:pPr>
      <w:r w:rsidRPr="00022131">
        <w:t xml:space="preserve">kucie mechaniczne bruzdy </w:t>
      </w:r>
    </w:p>
    <w:p w14:paraId="30D4E40B" w14:textId="77777777" w:rsidR="00D33D22" w:rsidRPr="00022131" w:rsidRDefault="002540D1">
      <w:pPr>
        <w:numPr>
          <w:ilvl w:val="0"/>
          <w:numId w:val="8"/>
        </w:numPr>
        <w:ind w:hanging="360"/>
      </w:pPr>
      <w:r w:rsidRPr="00022131">
        <w:t xml:space="preserve">sprawdzenie wymiarów bruzdy </w:t>
      </w:r>
    </w:p>
    <w:p w14:paraId="723D5A47" w14:textId="77777777" w:rsidR="00D33D22" w:rsidRPr="00022131" w:rsidRDefault="002540D1">
      <w:pPr>
        <w:numPr>
          <w:ilvl w:val="0"/>
          <w:numId w:val="8"/>
        </w:numPr>
        <w:ind w:hanging="360"/>
      </w:pPr>
      <w:r w:rsidRPr="00022131">
        <w:t xml:space="preserve">odmierzenie i odcięcie przewodu </w:t>
      </w:r>
    </w:p>
    <w:p w14:paraId="36BD3F4B" w14:textId="77777777" w:rsidR="00D33D22" w:rsidRPr="00022131" w:rsidRDefault="002540D1">
      <w:pPr>
        <w:numPr>
          <w:ilvl w:val="0"/>
          <w:numId w:val="8"/>
        </w:numPr>
        <w:ind w:hanging="360"/>
      </w:pPr>
      <w:r w:rsidRPr="00022131">
        <w:t xml:space="preserve">mocowanie przewodów  </w:t>
      </w:r>
    </w:p>
    <w:p w14:paraId="1531F07F" w14:textId="77777777" w:rsidR="00D33D22" w:rsidRPr="00022131" w:rsidRDefault="002540D1">
      <w:pPr>
        <w:numPr>
          <w:ilvl w:val="0"/>
          <w:numId w:val="8"/>
        </w:numPr>
        <w:ind w:hanging="360"/>
      </w:pPr>
      <w:r w:rsidRPr="00022131">
        <w:t xml:space="preserve">przykrycie warstwą tynku </w:t>
      </w:r>
    </w:p>
    <w:p w14:paraId="37E40038" w14:textId="77777777" w:rsidR="00D33D22" w:rsidRPr="00022131" w:rsidRDefault="002540D1">
      <w:pPr>
        <w:numPr>
          <w:ilvl w:val="0"/>
          <w:numId w:val="8"/>
        </w:numPr>
        <w:spacing w:after="356"/>
        <w:ind w:hanging="360"/>
      </w:pPr>
      <w:r w:rsidRPr="00022131">
        <w:t xml:space="preserve">sprawdzenie ciągłości przewodów po tynkowaniu </w:t>
      </w:r>
    </w:p>
    <w:p w14:paraId="40E93425" w14:textId="77777777" w:rsidR="00D33D22" w:rsidRPr="00022131" w:rsidRDefault="002540D1">
      <w:pPr>
        <w:pStyle w:val="Nagwek2"/>
        <w:spacing w:after="213"/>
        <w:ind w:left="792" w:right="153" w:hanging="432"/>
      </w:pPr>
      <w:bookmarkStart w:id="17" w:name="_Toc139618020"/>
      <w:r w:rsidRPr="00022131">
        <w:t>Montaż urządzeń</w:t>
      </w:r>
      <w:bookmarkEnd w:id="17"/>
      <w:r w:rsidRPr="00022131">
        <w:t xml:space="preserve"> </w:t>
      </w:r>
    </w:p>
    <w:p w14:paraId="4D823413" w14:textId="3DC7694D" w:rsidR="00D33D22" w:rsidRPr="00022131" w:rsidRDefault="002540D1">
      <w:pPr>
        <w:spacing w:after="16" w:line="399" w:lineRule="auto"/>
        <w:ind w:left="360" w:firstLine="708"/>
      </w:pPr>
      <w:r w:rsidRPr="00022131">
        <w:t xml:space="preserve">Wszystkie urządzenia instalować w miejscach wskazanych na rysunkach. </w:t>
      </w:r>
      <w:r w:rsidR="00363788" w:rsidRPr="00022131">
        <w:t xml:space="preserve">Słupy i oprawy wykonać zgodnie z Projektem Zagospodarowania Terenu. </w:t>
      </w:r>
      <w:r w:rsidRPr="00022131">
        <w:t xml:space="preserve">W miejscach występowania sufitów podwieszanych oprawy oświetleniowe instalować podtynkowo, w pozostałych miejscach instalować za pomocą kołków rozporowych poprzez przykręcenie do podłoża. Oprawy oświetlenia awaryjnego instalować w miejscach wskazanych w projekcie. Każda zmiana lokalizacji powinna być uzgodniona z projektantem i rzeczoznawcą ds. ochrony przeciwpożarowej Projektowaną instalację elektryczną należy prowadzić w liniach poziomych i pionowych tworząc tzw. strefy: </w:t>
      </w:r>
    </w:p>
    <w:p w14:paraId="1714A56E" w14:textId="77777777" w:rsidR="00D33D22" w:rsidRPr="00022131" w:rsidRDefault="002540D1">
      <w:pPr>
        <w:numPr>
          <w:ilvl w:val="0"/>
          <w:numId w:val="9"/>
        </w:numPr>
        <w:ind w:hanging="360"/>
      </w:pPr>
      <w:r w:rsidRPr="00022131">
        <w:t xml:space="preserve">strefa górna pozioma – o szerokości 30 cm w odległości 15 cm od sufitu, </w:t>
      </w:r>
    </w:p>
    <w:p w14:paraId="0E1B2F5A" w14:textId="77777777" w:rsidR="00D33D22" w:rsidRPr="00022131" w:rsidRDefault="002540D1">
      <w:pPr>
        <w:numPr>
          <w:ilvl w:val="0"/>
          <w:numId w:val="9"/>
        </w:numPr>
        <w:spacing w:after="115" w:line="259" w:lineRule="auto"/>
        <w:ind w:hanging="360"/>
      </w:pPr>
      <w:r w:rsidRPr="00022131">
        <w:t xml:space="preserve">strefa dolna pozioma – o szerokości 30 cm w odległości 15 cm od podłogi, </w:t>
      </w:r>
    </w:p>
    <w:p w14:paraId="43F440A0" w14:textId="77777777" w:rsidR="00D33D22" w:rsidRPr="00022131" w:rsidRDefault="002540D1">
      <w:pPr>
        <w:numPr>
          <w:ilvl w:val="0"/>
          <w:numId w:val="9"/>
        </w:numPr>
        <w:spacing w:after="0" w:line="405" w:lineRule="auto"/>
        <w:ind w:hanging="360"/>
      </w:pPr>
      <w:r w:rsidRPr="00022131">
        <w:t xml:space="preserve">strefa pionowa – o szerokości 20 cm w odległości 10 cm od krawędzi wew. i zew. ścian, ościeżnic okien, drzwi lub innych otworów. </w:t>
      </w:r>
    </w:p>
    <w:p w14:paraId="0C60050F" w14:textId="77777777" w:rsidR="00D33D22" w:rsidRPr="00022131" w:rsidRDefault="002540D1">
      <w:pPr>
        <w:spacing w:after="171"/>
        <w:ind w:left="718"/>
      </w:pPr>
      <w:r w:rsidRPr="00022131">
        <w:t xml:space="preserve">Osprzęt elektryczny należy instalować wg następujących zasad: </w:t>
      </w:r>
    </w:p>
    <w:p w14:paraId="7B8E4490" w14:textId="77525987" w:rsidR="00D33D22" w:rsidRPr="00022131" w:rsidRDefault="002540D1" w:rsidP="00EE4042">
      <w:pPr>
        <w:numPr>
          <w:ilvl w:val="0"/>
          <w:numId w:val="9"/>
        </w:numPr>
        <w:spacing w:after="72"/>
        <w:ind w:hanging="360"/>
      </w:pPr>
      <w:r w:rsidRPr="00022131">
        <w:t>gniazda wtykowe należy umieszczać na wysokości</w:t>
      </w:r>
      <w:r w:rsidR="00EE4042" w:rsidRPr="00022131">
        <w:t xml:space="preserve"> zgodnie z projektem </w:t>
      </w:r>
    </w:p>
    <w:p w14:paraId="1BE93F14" w14:textId="7A1C309E" w:rsidR="00D33D22" w:rsidRPr="00022131" w:rsidRDefault="002540D1">
      <w:pPr>
        <w:numPr>
          <w:ilvl w:val="0"/>
          <w:numId w:val="9"/>
        </w:numPr>
        <w:spacing w:after="14" w:line="402" w:lineRule="auto"/>
        <w:ind w:hanging="360"/>
      </w:pPr>
      <w:r w:rsidRPr="00022131">
        <w:t xml:space="preserve">łączniki instalacyjne należy umieszczać obok drzwi w strefie instalacyjnej pionowej, tak aby środek łącznika znajdował się na wysokości 130 cm od podłogi oraz 15 cm od krawędzi futryny, </w:t>
      </w:r>
      <w:r w:rsidR="00EE4042" w:rsidRPr="00022131">
        <w:t>lub w miejscu instalacji istniejących łączników,</w:t>
      </w:r>
    </w:p>
    <w:p w14:paraId="5E2591FE" w14:textId="77777777" w:rsidR="00D33D22" w:rsidRPr="00022131" w:rsidRDefault="002540D1">
      <w:pPr>
        <w:numPr>
          <w:ilvl w:val="0"/>
          <w:numId w:val="9"/>
        </w:numPr>
        <w:spacing w:after="0" w:line="406" w:lineRule="auto"/>
        <w:ind w:hanging="360"/>
      </w:pPr>
      <w:r w:rsidRPr="00022131">
        <w:t xml:space="preserve">puszki łączeniowe należy umieszczać w strefie instalacyjnej poziomej, tak aby środek znajdował się ok. 30 cm od sufitu. </w:t>
      </w:r>
    </w:p>
    <w:p w14:paraId="625EB229" w14:textId="77777777" w:rsidR="00D33D22" w:rsidRPr="00022131" w:rsidRDefault="002540D1">
      <w:pPr>
        <w:spacing w:after="242" w:line="398" w:lineRule="auto"/>
        <w:ind w:left="10"/>
      </w:pPr>
      <w:r w:rsidRPr="00022131">
        <w:lastRenderedPageBreak/>
        <w:t xml:space="preserve">Instalację urządzeń systemów teletechnicznych instalować w miejscach wskazanych w projekcie zgodnie z </w:t>
      </w:r>
      <w:proofErr w:type="spellStart"/>
      <w:r w:rsidRPr="00022131">
        <w:t>dtr</w:t>
      </w:r>
      <w:proofErr w:type="spellEnd"/>
      <w:r w:rsidRPr="00022131">
        <w:t xml:space="preserve"> urządzeń. </w:t>
      </w:r>
    </w:p>
    <w:p w14:paraId="65E5B685" w14:textId="77777777" w:rsidR="00D33D22" w:rsidRPr="00022131" w:rsidRDefault="002540D1">
      <w:pPr>
        <w:pStyle w:val="Nagwek1"/>
        <w:spacing w:after="220"/>
        <w:ind w:left="345" w:right="153" w:hanging="360"/>
      </w:pPr>
      <w:bookmarkStart w:id="18" w:name="_Toc139618021"/>
      <w:r w:rsidRPr="00022131">
        <w:t>KONTROLA JAKOŚCI ROBÓT</w:t>
      </w:r>
      <w:bookmarkEnd w:id="18"/>
      <w:r w:rsidRPr="00022131">
        <w:t xml:space="preserve"> </w:t>
      </w:r>
    </w:p>
    <w:p w14:paraId="3897EE2C" w14:textId="77777777" w:rsidR="00D33D22" w:rsidRPr="00022131" w:rsidRDefault="002540D1">
      <w:pPr>
        <w:pStyle w:val="Nagwek2"/>
        <w:spacing w:after="210"/>
        <w:ind w:left="792" w:right="153" w:hanging="432"/>
      </w:pPr>
      <w:bookmarkStart w:id="19" w:name="_Toc139618022"/>
      <w:r w:rsidRPr="00022131">
        <w:t>Wymagania ogólne</w:t>
      </w:r>
      <w:bookmarkEnd w:id="19"/>
      <w:r w:rsidRPr="00022131">
        <w:t xml:space="preserve"> </w:t>
      </w:r>
    </w:p>
    <w:p w14:paraId="3798F05E" w14:textId="77777777" w:rsidR="00D33D22" w:rsidRPr="00022131" w:rsidRDefault="002540D1">
      <w:pPr>
        <w:spacing w:after="0" w:line="397" w:lineRule="auto"/>
        <w:ind w:left="360" w:firstLine="708"/>
      </w:pPr>
      <w:r w:rsidRPr="00022131">
        <w:t xml:space="preserve">Wykonawca powinien zadbać, aby jakość materiałów, urządzeń i montażu była zgodna z dokumentacją projektową, niniejszą specyfikacją i przedmiarem robót.  </w:t>
      </w:r>
    </w:p>
    <w:p w14:paraId="014A0C96" w14:textId="77777777" w:rsidR="00D33D22" w:rsidRPr="00022131" w:rsidRDefault="002540D1">
      <w:pPr>
        <w:spacing w:after="171"/>
      </w:pPr>
      <w:r w:rsidRPr="00022131">
        <w:t xml:space="preserve">Kontrola winna składać się z: </w:t>
      </w:r>
    </w:p>
    <w:p w14:paraId="10D18015" w14:textId="77777777" w:rsidR="00D33D22" w:rsidRPr="00022131" w:rsidRDefault="002540D1">
      <w:pPr>
        <w:numPr>
          <w:ilvl w:val="0"/>
          <w:numId w:val="10"/>
        </w:numPr>
        <w:spacing w:after="0" w:line="402" w:lineRule="auto"/>
        <w:ind w:hanging="360"/>
      </w:pPr>
      <w:r w:rsidRPr="00022131">
        <w:t xml:space="preserve">oględziny – mające dać pozytywną odpowiedź, że zainstalowane na stałe urządzenia elektryczne spełniają wymagania bezpieczeństwa podane w odpowiednich normach przedmiotowych, i że zainstalowane wyposażenie jest </w:t>
      </w:r>
    </w:p>
    <w:p w14:paraId="502B51D6" w14:textId="77777777" w:rsidR="00D33D22" w:rsidRPr="00022131" w:rsidRDefault="002540D1">
      <w:pPr>
        <w:spacing w:after="170"/>
        <w:ind w:left="1075"/>
      </w:pPr>
      <w:r w:rsidRPr="00022131">
        <w:t xml:space="preserve">zgodne z instrukcjami producenta, tak aby zapewniało jego poprawne działanie, </w:t>
      </w:r>
    </w:p>
    <w:p w14:paraId="28EF6A87" w14:textId="77777777" w:rsidR="00D33D22" w:rsidRPr="00022131" w:rsidRDefault="002540D1">
      <w:pPr>
        <w:numPr>
          <w:ilvl w:val="0"/>
          <w:numId w:val="10"/>
        </w:numPr>
        <w:spacing w:after="0" w:line="405" w:lineRule="auto"/>
        <w:ind w:hanging="360"/>
      </w:pPr>
      <w:r w:rsidRPr="00022131">
        <w:t xml:space="preserve">próby i pomiary – mające dać odpowiedź czy zachowane są wymagane parametry techniczne instalacji i urządzeń. </w:t>
      </w:r>
    </w:p>
    <w:p w14:paraId="03D68EDE" w14:textId="77777777" w:rsidR="00D33D22" w:rsidRPr="00022131" w:rsidRDefault="002540D1">
      <w:pPr>
        <w:spacing w:after="291" w:line="358" w:lineRule="auto"/>
        <w:ind w:left="360" w:firstLine="60"/>
      </w:pPr>
      <w:r w:rsidRPr="00022131">
        <w:t xml:space="preserve">Próby dotyczą badań i pomiarów. Wyniki prób stwierdzone protokolarnie powinny być przedstawione komisji odbioru robót. </w:t>
      </w:r>
    </w:p>
    <w:p w14:paraId="59339B9C" w14:textId="77777777" w:rsidR="00D33D22" w:rsidRPr="00022131" w:rsidRDefault="002540D1">
      <w:pPr>
        <w:pStyle w:val="Nagwek2"/>
        <w:spacing w:after="212"/>
        <w:ind w:left="792" w:right="153" w:hanging="432"/>
      </w:pPr>
      <w:bookmarkStart w:id="20" w:name="_Toc139618023"/>
      <w:r w:rsidRPr="00022131">
        <w:t>Badania przed przystąpieniem do robót</w:t>
      </w:r>
      <w:bookmarkEnd w:id="20"/>
      <w:r w:rsidRPr="00022131">
        <w:t xml:space="preserve"> </w:t>
      </w:r>
    </w:p>
    <w:p w14:paraId="2BE59C05" w14:textId="77777777" w:rsidR="00D33D22" w:rsidRPr="00022131" w:rsidRDefault="002540D1">
      <w:pPr>
        <w:spacing w:line="396" w:lineRule="auto"/>
        <w:ind w:left="360" w:firstLine="708"/>
      </w:pPr>
      <w:r w:rsidRPr="00022131">
        <w:t xml:space="preserve">Przed przystąpieniem do robót, Wykonawca powinien zapoznać się z dokumentacją techniczną, przeprowadzić wizję lokalną w obiekcie. Zapoznać się z istniejącą częścią instalacji elektrycznej, podlegającej likwidacji bądź modernizacji. </w:t>
      </w:r>
    </w:p>
    <w:p w14:paraId="229F3852" w14:textId="77777777" w:rsidR="00D33D22" w:rsidRPr="00022131" w:rsidRDefault="002540D1">
      <w:pPr>
        <w:pStyle w:val="Nagwek2"/>
        <w:spacing w:after="209"/>
        <w:ind w:left="792" w:right="153" w:hanging="432"/>
      </w:pPr>
      <w:bookmarkStart w:id="21" w:name="_Toc139618024"/>
      <w:r w:rsidRPr="00022131">
        <w:t>Badania w czasie wykonywania robót</w:t>
      </w:r>
      <w:bookmarkEnd w:id="21"/>
      <w:r w:rsidRPr="00022131">
        <w:t xml:space="preserve"> </w:t>
      </w:r>
    </w:p>
    <w:p w14:paraId="514066B9" w14:textId="77777777" w:rsidR="00D33D22" w:rsidRPr="00022131" w:rsidRDefault="002540D1">
      <w:pPr>
        <w:spacing w:after="1" w:line="397" w:lineRule="auto"/>
        <w:ind w:left="360" w:firstLine="708"/>
      </w:pPr>
      <w:r w:rsidRPr="00022131">
        <w:t xml:space="preserve">Po wytrasowaniu tras kablowych, należy sprawdzić zgodność ich tras z dokumentacją projektową. Po ułożeniu przewodów, sprawdzić ciągłość żył roboczych. </w:t>
      </w:r>
    </w:p>
    <w:p w14:paraId="2EB1A53E" w14:textId="77777777" w:rsidR="00D33D22" w:rsidRPr="00022131" w:rsidRDefault="002540D1">
      <w:pPr>
        <w:spacing w:after="362"/>
      </w:pPr>
      <w:r w:rsidRPr="00022131">
        <w:t xml:space="preserve">Wykonać pomiary rezystancji izolacji.  </w:t>
      </w:r>
    </w:p>
    <w:p w14:paraId="701D13C9" w14:textId="77777777" w:rsidR="00D33D22" w:rsidRPr="00022131" w:rsidRDefault="002540D1">
      <w:pPr>
        <w:pStyle w:val="Nagwek1"/>
        <w:spacing w:after="210"/>
        <w:ind w:left="345" w:right="153" w:hanging="360"/>
      </w:pPr>
      <w:bookmarkStart w:id="22" w:name="_Toc139618025"/>
      <w:r w:rsidRPr="00022131">
        <w:t>OBMIAR ROBÓT</w:t>
      </w:r>
      <w:bookmarkEnd w:id="22"/>
      <w:r w:rsidRPr="00022131">
        <w:t xml:space="preserve"> </w:t>
      </w:r>
    </w:p>
    <w:p w14:paraId="268D052D" w14:textId="77777777" w:rsidR="00D33D22" w:rsidRPr="00022131" w:rsidRDefault="002540D1">
      <w:pPr>
        <w:spacing w:after="160"/>
        <w:ind w:left="10"/>
      </w:pPr>
      <w:r w:rsidRPr="00022131">
        <w:t xml:space="preserve">Jednostką obmiarowa jest: </w:t>
      </w:r>
    </w:p>
    <w:p w14:paraId="0B0C4C45" w14:textId="77777777" w:rsidR="00D33D22" w:rsidRPr="00022131" w:rsidRDefault="002540D1">
      <w:pPr>
        <w:numPr>
          <w:ilvl w:val="0"/>
          <w:numId w:val="11"/>
        </w:numPr>
        <w:ind w:hanging="360"/>
      </w:pPr>
      <w:r w:rsidRPr="00022131">
        <w:t xml:space="preserve">1m dla układania tras kablowych, </w:t>
      </w:r>
    </w:p>
    <w:p w14:paraId="71D69A07" w14:textId="77777777" w:rsidR="00D33D22" w:rsidRPr="00022131" w:rsidRDefault="002540D1">
      <w:pPr>
        <w:numPr>
          <w:ilvl w:val="0"/>
          <w:numId w:val="11"/>
        </w:numPr>
        <w:spacing w:after="325"/>
        <w:ind w:hanging="360"/>
      </w:pPr>
      <w:r w:rsidRPr="00022131">
        <w:t xml:space="preserve">1szt. dla montażu urządzeń. </w:t>
      </w:r>
    </w:p>
    <w:p w14:paraId="50DFE9C4" w14:textId="77777777" w:rsidR="00D33D22" w:rsidRPr="00022131" w:rsidRDefault="002540D1">
      <w:pPr>
        <w:pStyle w:val="Nagwek1"/>
        <w:spacing w:after="212"/>
        <w:ind w:left="345" w:right="153" w:hanging="360"/>
      </w:pPr>
      <w:bookmarkStart w:id="23" w:name="_Toc139618026"/>
      <w:r w:rsidRPr="00022131">
        <w:lastRenderedPageBreak/>
        <w:t>ODBIÓR ROBÓT</w:t>
      </w:r>
      <w:bookmarkEnd w:id="23"/>
      <w:r w:rsidRPr="00022131">
        <w:t xml:space="preserve"> </w:t>
      </w:r>
    </w:p>
    <w:p w14:paraId="3917DB58" w14:textId="77777777" w:rsidR="00D33D22" w:rsidRPr="00022131" w:rsidRDefault="002540D1">
      <w:pPr>
        <w:spacing w:after="7" w:line="392" w:lineRule="auto"/>
        <w:ind w:left="-15" w:firstLine="350"/>
        <w:jc w:val="left"/>
      </w:pPr>
      <w:r w:rsidRPr="00022131">
        <w:t xml:space="preserve">Całość prac związanych z wykonaniem instalacji elektrycznej odbiorczej w w/w proj. obiekcie winien wykonać wyspecjalizowany zakład z branży elektroenergetycznej posiadający odpowiednie uprawnienia. </w:t>
      </w:r>
    </w:p>
    <w:p w14:paraId="6346A252" w14:textId="77777777" w:rsidR="00D33D22" w:rsidRPr="00022131" w:rsidRDefault="002540D1">
      <w:pPr>
        <w:spacing w:after="0" w:line="399" w:lineRule="auto"/>
        <w:ind w:left="10"/>
      </w:pPr>
      <w:r w:rsidRPr="00022131">
        <w:t xml:space="preserve">Całość prac wykonać zgodnie z obowiązującymi przepisami i normami. Przed oddaniem do eksploatacji wykonanych poszczególnych instalacji w w/w proj. obiekcie należy wykonać wymagane pomiary zgodnie z obowiązującymi przepisami i normami. </w:t>
      </w:r>
    </w:p>
    <w:p w14:paraId="27CE1E73" w14:textId="77777777" w:rsidR="00D33D22" w:rsidRPr="00022131" w:rsidRDefault="002540D1">
      <w:pPr>
        <w:spacing w:after="160"/>
        <w:ind w:left="10"/>
      </w:pPr>
      <w:r w:rsidRPr="00022131">
        <w:t xml:space="preserve">Pomiary, które należy wykonać po wykonaniu instalacji elektrycznej: </w:t>
      </w:r>
    </w:p>
    <w:p w14:paraId="2972E284" w14:textId="77777777" w:rsidR="00D33D22" w:rsidRPr="00022131" w:rsidRDefault="002540D1">
      <w:pPr>
        <w:numPr>
          <w:ilvl w:val="0"/>
          <w:numId w:val="12"/>
        </w:numPr>
        <w:ind w:hanging="360"/>
      </w:pPr>
      <w:r w:rsidRPr="00022131">
        <w:t xml:space="preserve">sprawdzenia instalacji elektrycznej, </w:t>
      </w:r>
    </w:p>
    <w:p w14:paraId="3768B965" w14:textId="77777777" w:rsidR="00D33D22" w:rsidRPr="00022131" w:rsidRDefault="002540D1">
      <w:pPr>
        <w:numPr>
          <w:ilvl w:val="0"/>
          <w:numId w:val="12"/>
        </w:numPr>
        <w:ind w:hanging="360"/>
      </w:pPr>
      <w:r w:rsidRPr="00022131">
        <w:t xml:space="preserve">badanie ochrony przed porażeniem, poprzez samoczynne wyłączenie, </w:t>
      </w:r>
    </w:p>
    <w:p w14:paraId="479D308E" w14:textId="77777777" w:rsidR="00D33D22" w:rsidRPr="00022131" w:rsidRDefault="002540D1">
      <w:pPr>
        <w:numPr>
          <w:ilvl w:val="0"/>
          <w:numId w:val="12"/>
        </w:numPr>
        <w:ind w:hanging="360"/>
      </w:pPr>
      <w:r w:rsidRPr="00022131">
        <w:t xml:space="preserve">pomiary zabezpieczeń wyłączników różnicowoprądowych, </w:t>
      </w:r>
    </w:p>
    <w:p w14:paraId="745CA1C2" w14:textId="77777777" w:rsidR="00D33D22" w:rsidRPr="00022131" w:rsidRDefault="002540D1">
      <w:pPr>
        <w:numPr>
          <w:ilvl w:val="0"/>
          <w:numId w:val="12"/>
        </w:numPr>
        <w:ind w:hanging="360"/>
      </w:pPr>
      <w:r w:rsidRPr="00022131">
        <w:t xml:space="preserve">badanie rezystancji izolacji obwodów, </w:t>
      </w:r>
    </w:p>
    <w:p w14:paraId="20B67814" w14:textId="77777777" w:rsidR="00D33D22" w:rsidRPr="00022131" w:rsidRDefault="002540D1">
      <w:pPr>
        <w:spacing w:after="164"/>
        <w:ind w:left="10"/>
      </w:pPr>
      <w:r w:rsidRPr="00022131">
        <w:t xml:space="preserve">Pomiary, które należy wykonać po wykonaniu instalacji sieci strukturalnej: </w:t>
      </w:r>
    </w:p>
    <w:p w14:paraId="132960A0" w14:textId="77777777" w:rsidR="00D33D22" w:rsidRPr="00022131" w:rsidRDefault="002540D1">
      <w:pPr>
        <w:numPr>
          <w:ilvl w:val="0"/>
          <w:numId w:val="12"/>
        </w:numPr>
        <w:ind w:hanging="360"/>
      </w:pPr>
      <w:r w:rsidRPr="00022131">
        <w:t xml:space="preserve">mapa połączeń, </w:t>
      </w:r>
    </w:p>
    <w:p w14:paraId="356C86EF" w14:textId="77777777" w:rsidR="00D33D22" w:rsidRPr="00022131" w:rsidRDefault="002540D1">
      <w:pPr>
        <w:numPr>
          <w:ilvl w:val="0"/>
          <w:numId w:val="12"/>
        </w:numPr>
        <w:ind w:hanging="360"/>
      </w:pPr>
      <w:r w:rsidRPr="00022131">
        <w:t xml:space="preserve">impedancja, </w:t>
      </w:r>
    </w:p>
    <w:p w14:paraId="1F814A21" w14:textId="77777777" w:rsidR="00D33D22" w:rsidRPr="00022131" w:rsidRDefault="002540D1">
      <w:pPr>
        <w:numPr>
          <w:ilvl w:val="0"/>
          <w:numId w:val="12"/>
        </w:numPr>
        <w:ind w:hanging="360"/>
      </w:pPr>
      <w:r w:rsidRPr="00022131">
        <w:t xml:space="preserve">rezystancja pętli stałoprądowej, </w:t>
      </w:r>
    </w:p>
    <w:p w14:paraId="3E059C85" w14:textId="77777777" w:rsidR="00D33D22" w:rsidRPr="00022131" w:rsidRDefault="002540D1">
      <w:pPr>
        <w:numPr>
          <w:ilvl w:val="0"/>
          <w:numId w:val="12"/>
        </w:numPr>
        <w:ind w:hanging="360"/>
      </w:pPr>
      <w:r w:rsidRPr="00022131">
        <w:t xml:space="preserve">zmniejszenie przesłuchu </w:t>
      </w:r>
      <w:proofErr w:type="spellStart"/>
      <w:r w:rsidRPr="00022131">
        <w:t>zbliżnego</w:t>
      </w:r>
      <w:proofErr w:type="spellEnd"/>
      <w:r w:rsidRPr="00022131">
        <w:t xml:space="preserve">, </w:t>
      </w:r>
    </w:p>
    <w:p w14:paraId="78526D8F" w14:textId="77777777" w:rsidR="00D33D22" w:rsidRPr="00022131" w:rsidRDefault="002540D1">
      <w:pPr>
        <w:numPr>
          <w:ilvl w:val="0"/>
          <w:numId w:val="12"/>
        </w:numPr>
        <w:ind w:hanging="360"/>
      </w:pPr>
      <w:r w:rsidRPr="00022131">
        <w:t xml:space="preserve">sumaryczne zmniejszenie przesłuchu </w:t>
      </w:r>
      <w:proofErr w:type="spellStart"/>
      <w:r w:rsidRPr="00022131">
        <w:t>zbliżnego</w:t>
      </w:r>
      <w:proofErr w:type="spellEnd"/>
      <w:r w:rsidRPr="00022131">
        <w:t xml:space="preserve">, </w:t>
      </w:r>
    </w:p>
    <w:p w14:paraId="0D41FF96" w14:textId="77777777" w:rsidR="00D33D22" w:rsidRPr="00022131" w:rsidRDefault="002540D1">
      <w:pPr>
        <w:numPr>
          <w:ilvl w:val="0"/>
          <w:numId w:val="12"/>
        </w:numPr>
        <w:ind w:hanging="360"/>
      </w:pPr>
      <w:r w:rsidRPr="00022131">
        <w:t xml:space="preserve">stratność odbiciowa, </w:t>
      </w:r>
    </w:p>
    <w:p w14:paraId="37F6E20D" w14:textId="77777777" w:rsidR="00D33D22" w:rsidRPr="00022131" w:rsidRDefault="002540D1">
      <w:pPr>
        <w:numPr>
          <w:ilvl w:val="0"/>
          <w:numId w:val="12"/>
        </w:numPr>
        <w:ind w:hanging="360"/>
      </w:pPr>
      <w:r w:rsidRPr="00022131">
        <w:t xml:space="preserve">zmniejszenie przesłuchu zdalnego, </w:t>
      </w:r>
    </w:p>
    <w:p w14:paraId="154AEE48" w14:textId="77777777" w:rsidR="00D33D22" w:rsidRPr="00022131" w:rsidRDefault="002540D1">
      <w:pPr>
        <w:numPr>
          <w:ilvl w:val="0"/>
          <w:numId w:val="12"/>
        </w:numPr>
        <w:ind w:hanging="360"/>
      </w:pPr>
      <w:r w:rsidRPr="00022131">
        <w:t xml:space="preserve">zmniejszenie przesłuchu zdalnego w odniesieniu do długości linii transmisyjnej, </w:t>
      </w:r>
    </w:p>
    <w:p w14:paraId="76A406A9" w14:textId="77777777" w:rsidR="00D33D22" w:rsidRPr="00022131" w:rsidRDefault="002540D1">
      <w:pPr>
        <w:numPr>
          <w:ilvl w:val="0"/>
          <w:numId w:val="12"/>
        </w:numPr>
        <w:spacing w:line="365" w:lineRule="auto"/>
        <w:ind w:hanging="360"/>
      </w:pPr>
      <w:r w:rsidRPr="00022131">
        <w:t xml:space="preserve">sumaryczne zmniejszenie przesłuchu zdalnego w odniesieniu do długości linii transmisyjnej, </w:t>
      </w:r>
    </w:p>
    <w:p w14:paraId="0DA07EAE" w14:textId="77777777" w:rsidR="00D33D22" w:rsidRPr="00022131" w:rsidRDefault="002540D1">
      <w:pPr>
        <w:numPr>
          <w:ilvl w:val="0"/>
          <w:numId w:val="12"/>
        </w:numPr>
        <w:ind w:hanging="360"/>
      </w:pPr>
      <w:r w:rsidRPr="00022131">
        <w:t xml:space="preserve">współczynnik tłumienia w odniesieniu do zmniejszenia przesłuchu, </w:t>
      </w:r>
    </w:p>
    <w:p w14:paraId="6128814C" w14:textId="77777777" w:rsidR="00D33D22" w:rsidRPr="00022131" w:rsidRDefault="002540D1">
      <w:pPr>
        <w:numPr>
          <w:ilvl w:val="0"/>
          <w:numId w:val="12"/>
        </w:numPr>
        <w:ind w:hanging="360"/>
      </w:pPr>
      <w:r w:rsidRPr="00022131">
        <w:t xml:space="preserve">sumaryczny współczynnik tłumienia w odniesienia do zmniejszenia przesłuchu, </w:t>
      </w:r>
    </w:p>
    <w:p w14:paraId="69F52144" w14:textId="77777777" w:rsidR="00D33D22" w:rsidRPr="00022131" w:rsidRDefault="002540D1">
      <w:pPr>
        <w:numPr>
          <w:ilvl w:val="0"/>
          <w:numId w:val="12"/>
        </w:numPr>
        <w:ind w:hanging="360"/>
      </w:pPr>
      <w:r w:rsidRPr="00022131">
        <w:t xml:space="preserve">podane wartości graniczne (limit), </w:t>
      </w:r>
    </w:p>
    <w:p w14:paraId="7C0A13AD" w14:textId="77777777" w:rsidR="00D33D22" w:rsidRPr="00022131" w:rsidRDefault="002540D1">
      <w:pPr>
        <w:numPr>
          <w:ilvl w:val="0"/>
          <w:numId w:val="12"/>
        </w:numPr>
        <w:ind w:hanging="360"/>
      </w:pPr>
      <w:r w:rsidRPr="00022131">
        <w:t xml:space="preserve">informacje o końcowym rezultacie pomiaru. </w:t>
      </w:r>
    </w:p>
    <w:p w14:paraId="29A1DC38" w14:textId="77777777" w:rsidR="00D33D22" w:rsidRPr="00022131" w:rsidRDefault="002540D1">
      <w:pPr>
        <w:spacing w:after="158"/>
        <w:ind w:left="10"/>
      </w:pPr>
      <w:r w:rsidRPr="00022131">
        <w:t xml:space="preserve">Po zainstalowaniu oświetlenia wykonać pomiary natężenia i sporządzić protokół. </w:t>
      </w:r>
    </w:p>
    <w:p w14:paraId="418A1A4C" w14:textId="77777777" w:rsidR="00D33D22" w:rsidRPr="00022131" w:rsidRDefault="002540D1">
      <w:pPr>
        <w:spacing w:after="0" w:line="398" w:lineRule="auto"/>
        <w:ind w:left="10"/>
      </w:pPr>
      <w:r w:rsidRPr="00022131">
        <w:lastRenderedPageBreak/>
        <w:t xml:space="preserve">Po zainstalowaniu wszystkich opraw awaryjnego oświetlenia ewakuacyjnego oraz ich zasileniu, należy dokonać pomiaru czasu działania opraw, który powinien wynosić min. 3h oraz wykonać pomiary natężenia oświetlenia. Po wykonaniu tych czynności sporządzić </w:t>
      </w:r>
    </w:p>
    <w:p w14:paraId="6A1FBA29" w14:textId="77777777" w:rsidR="00D33D22" w:rsidRPr="00022131" w:rsidRDefault="002540D1">
      <w:pPr>
        <w:spacing w:after="400"/>
        <w:ind w:left="10"/>
      </w:pPr>
      <w:r w:rsidRPr="00022131">
        <w:t xml:space="preserve">protokoły. </w:t>
      </w:r>
    </w:p>
    <w:p w14:paraId="5E35ADF4" w14:textId="77777777" w:rsidR="00D33D22" w:rsidRPr="00022131" w:rsidRDefault="002540D1">
      <w:pPr>
        <w:pStyle w:val="Nagwek1"/>
        <w:spacing w:after="213"/>
        <w:ind w:left="345" w:right="153" w:hanging="360"/>
      </w:pPr>
      <w:bookmarkStart w:id="24" w:name="_Toc139618027"/>
      <w:r w:rsidRPr="00022131">
        <w:t>PRZEPISY ZWIĄZANE</w:t>
      </w:r>
      <w:bookmarkEnd w:id="24"/>
      <w:r w:rsidRPr="00022131">
        <w:t xml:space="preserve"> </w:t>
      </w:r>
    </w:p>
    <w:p w14:paraId="4C5F5B88" w14:textId="77777777" w:rsidR="00D33D22" w:rsidRPr="00022131" w:rsidRDefault="002540D1">
      <w:pPr>
        <w:numPr>
          <w:ilvl w:val="0"/>
          <w:numId w:val="13"/>
        </w:numPr>
        <w:ind w:hanging="360"/>
      </w:pPr>
      <w:r w:rsidRPr="00022131">
        <w:t xml:space="preserve">Projekt budowlany – architektura, </w:t>
      </w:r>
    </w:p>
    <w:p w14:paraId="01474DD9" w14:textId="77777777" w:rsidR="00D33D22" w:rsidRPr="00022131" w:rsidRDefault="002540D1">
      <w:pPr>
        <w:numPr>
          <w:ilvl w:val="0"/>
          <w:numId w:val="13"/>
        </w:numPr>
        <w:spacing w:after="0" w:line="407" w:lineRule="auto"/>
        <w:ind w:hanging="360"/>
      </w:pPr>
      <w:r w:rsidRPr="00022131">
        <w:t xml:space="preserve">Rozporządzenie Ministra Infrastruktury z dn. 12 kwietnia 2002 r. w sprawie warunków technicznych, jakim powinny odpowiadać budynki i ich usytuowanie </w:t>
      </w:r>
    </w:p>
    <w:p w14:paraId="27821E5A" w14:textId="77777777" w:rsidR="00D33D22" w:rsidRPr="00022131" w:rsidRDefault="002540D1">
      <w:pPr>
        <w:spacing w:after="174"/>
        <w:ind w:left="1075"/>
      </w:pPr>
      <w:r w:rsidRPr="00022131">
        <w:t xml:space="preserve">(Dz. U. z 2002 r., Nr 75, poz. 690, i późniejszymi aktualizacjami, </w:t>
      </w:r>
    </w:p>
    <w:p w14:paraId="45D33617" w14:textId="77777777" w:rsidR="00D33D22" w:rsidRPr="00022131" w:rsidRDefault="002540D1">
      <w:pPr>
        <w:numPr>
          <w:ilvl w:val="0"/>
          <w:numId w:val="13"/>
        </w:numPr>
        <w:spacing w:after="23" w:line="382" w:lineRule="auto"/>
        <w:ind w:hanging="360"/>
      </w:pPr>
      <w:r w:rsidRPr="00022131">
        <w:t xml:space="preserve">Rozporządzenie Ministra Spraw Wewnętrznych z dnia 7 czerwca 2010 r. w sprawie ochrony przeciwpożarowej budynków, innych obiektów budowlanych i terenów. (Dz. U. 2010 N 109-719, </w:t>
      </w:r>
    </w:p>
    <w:p w14:paraId="52CEFC10" w14:textId="77777777" w:rsidR="00D33D22" w:rsidRPr="00022131" w:rsidRDefault="002540D1">
      <w:pPr>
        <w:numPr>
          <w:ilvl w:val="0"/>
          <w:numId w:val="13"/>
        </w:numPr>
        <w:spacing w:after="56" w:line="365" w:lineRule="auto"/>
        <w:ind w:hanging="360"/>
      </w:pPr>
      <w:r w:rsidRPr="00022131">
        <w:t xml:space="preserve">Ustawa z dnia 7 lipca 1994 r. Prawo budowlane (Dz. U. Nr 156, poz. 1118 z 2006 r.), </w:t>
      </w:r>
    </w:p>
    <w:p w14:paraId="69A8E2F4" w14:textId="77777777" w:rsidR="00D33D22" w:rsidRPr="00022131" w:rsidRDefault="002540D1">
      <w:pPr>
        <w:numPr>
          <w:ilvl w:val="0"/>
          <w:numId w:val="13"/>
        </w:numPr>
        <w:ind w:hanging="360"/>
      </w:pPr>
      <w:r w:rsidRPr="00022131">
        <w:t xml:space="preserve">Ustawa z dnia 24 sierpnia 1991 r. o ochronie przeciwpożarowej (t. j. w Dz. U. z </w:t>
      </w:r>
    </w:p>
    <w:p w14:paraId="0F178F1F" w14:textId="77777777" w:rsidR="00D33D22" w:rsidRPr="00022131" w:rsidRDefault="002540D1">
      <w:pPr>
        <w:spacing w:after="174"/>
        <w:ind w:left="1075"/>
      </w:pPr>
      <w:r w:rsidRPr="00022131">
        <w:t xml:space="preserve">2002 r., Nr147, poz. 1229 z </w:t>
      </w:r>
      <w:proofErr w:type="spellStart"/>
      <w:r w:rsidRPr="00022131">
        <w:t>późn</w:t>
      </w:r>
      <w:proofErr w:type="spellEnd"/>
      <w:r w:rsidRPr="00022131">
        <w:t xml:space="preserve">. zm.), </w:t>
      </w:r>
    </w:p>
    <w:p w14:paraId="15DA61FE" w14:textId="77777777" w:rsidR="00D33D22" w:rsidRPr="00022131" w:rsidRDefault="002540D1">
      <w:pPr>
        <w:numPr>
          <w:ilvl w:val="0"/>
          <w:numId w:val="13"/>
        </w:numPr>
        <w:spacing w:after="0" w:line="363" w:lineRule="auto"/>
        <w:ind w:hanging="360"/>
      </w:pPr>
      <w:r w:rsidRPr="00022131">
        <w:t xml:space="preserve">Rozporządzeniem Ministra Infrastruktury z dnia 3 lipca 2003 r. „w sprawie szczegółowego zakresu i formy projektu budowlanego" (Dz.U.120 z 2003 r., poz. </w:t>
      </w:r>
    </w:p>
    <w:p w14:paraId="75EE1CEB" w14:textId="77777777" w:rsidR="00D33D22" w:rsidRPr="00022131" w:rsidRDefault="002540D1">
      <w:pPr>
        <w:spacing w:after="171"/>
        <w:ind w:left="1075"/>
      </w:pPr>
      <w:r w:rsidRPr="00022131">
        <w:t xml:space="preserve">1133), </w:t>
      </w:r>
    </w:p>
    <w:p w14:paraId="4AD866CC" w14:textId="77777777" w:rsidR="00D33D22" w:rsidRPr="00022131" w:rsidRDefault="002540D1">
      <w:pPr>
        <w:numPr>
          <w:ilvl w:val="0"/>
          <w:numId w:val="13"/>
        </w:numPr>
        <w:spacing w:after="46" w:line="360" w:lineRule="auto"/>
        <w:ind w:hanging="360"/>
      </w:pPr>
      <w:r w:rsidRPr="00022131">
        <w:t xml:space="preserve">Rozporządzeniem Ministra Infrastruktury z dnia 2 września 2004 r. „w sprawie szczegółowego zakresu i formy dokumentacji projektowej, specyfikacji technicznych wykonania i odbioru robót budowlanych oraz programu </w:t>
      </w:r>
    </w:p>
    <w:p w14:paraId="6AEC6AA9" w14:textId="77777777" w:rsidR="00D33D22" w:rsidRPr="00022131" w:rsidRDefault="002540D1">
      <w:pPr>
        <w:spacing w:after="171"/>
        <w:ind w:left="1075"/>
      </w:pPr>
      <w:r w:rsidRPr="00022131">
        <w:t xml:space="preserve">funkcjonalno-użytkowego" (Dz. U. z dnia 16 września 2004r.), </w:t>
      </w:r>
    </w:p>
    <w:p w14:paraId="2C0D4EBB" w14:textId="3A0CC918" w:rsidR="00D33D22" w:rsidRPr="00022131" w:rsidRDefault="00EE4042">
      <w:pPr>
        <w:numPr>
          <w:ilvl w:val="0"/>
          <w:numId w:val="13"/>
        </w:numPr>
        <w:ind w:hanging="360"/>
      </w:pPr>
      <w:r w:rsidRPr="00022131">
        <w:t xml:space="preserve">Obowiązujące normy i przepisy </w:t>
      </w:r>
      <w:r w:rsidR="002540D1" w:rsidRPr="00022131">
        <w:t xml:space="preserve"> </w:t>
      </w:r>
      <w:bookmarkEnd w:id="1"/>
    </w:p>
    <w:sectPr w:rsidR="00D33D22" w:rsidRPr="00022131">
      <w:headerReference w:type="even" r:id="rId8"/>
      <w:headerReference w:type="default" r:id="rId9"/>
      <w:footerReference w:type="even" r:id="rId10"/>
      <w:footerReference w:type="default" r:id="rId11"/>
      <w:headerReference w:type="first" r:id="rId12"/>
      <w:footerReference w:type="first" r:id="rId13"/>
      <w:pgSz w:w="11900" w:h="16840"/>
      <w:pgMar w:top="1470" w:right="1407" w:bottom="1564" w:left="1418" w:header="708" w:footer="7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01DA" w14:textId="77777777" w:rsidR="002D5CE9" w:rsidRDefault="002D5CE9">
      <w:pPr>
        <w:spacing w:after="0" w:line="240" w:lineRule="auto"/>
      </w:pPr>
      <w:r>
        <w:separator/>
      </w:r>
    </w:p>
  </w:endnote>
  <w:endnote w:type="continuationSeparator" w:id="0">
    <w:p w14:paraId="41CC717C" w14:textId="77777777" w:rsidR="002D5CE9" w:rsidRDefault="002D5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Klavika Basic Regular">
    <w:altName w:val="Arial Narrow"/>
    <w:charset w:val="EE"/>
    <w:family w:val="swiss"/>
    <w:pitch w:val="variable"/>
    <w:sig w:usb0="00000001"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F2EB" w14:textId="77777777" w:rsidR="00D33D22" w:rsidRDefault="002540D1">
    <w:pPr>
      <w:spacing w:after="0" w:line="259" w:lineRule="auto"/>
      <w:ind w:left="0" w:right="5" w:firstLine="0"/>
      <w:jc w:val="right"/>
    </w:pPr>
    <w: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D817" w14:textId="77777777" w:rsidR="00D33D22" w:rsidRDefault="002540D1">
    <w:pPr>
      <w:spacing w:after="0" w:line="259" w:lineRule="auto"/>
      <w:ind w:left="0" w:right="5" w:firstLine="0"/>
      <w:jc w:val="right"/>
    </w:pPr>
    <w:r>
      <w:t xml:space="preserve"> </w:t>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41B4" w14:textId="77777777" w:rsidR="00D33D22" w:rsidRDefault="002540D1">
    <w:pPr>
      <w:spacing w:after="0" w:line="259" w:lineRule="auto"/>
      <w:ind w:left="0" w:right="5" w:firstLine="0"/>
      <w:jc w:val="right"/>
    </w:pPr>
    <w:r>
      <w:t xml:space="preserve"> </w:t>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F79D" w14:textId="77777777" w:rsidR="002D5CE9" w:rsidRDefault="002D5CE9">
      <w:pPr>
        <w:spacing w:after="0" w:line="240" w:lineRule="auto"/>
      </w:pPr>
      <w:r>
        <w:separator/>
      </w:r>
    </w:p>
  </w:footnote>
  <w:footnote w:type="continuationSeparator" w:id="0">
    <w:p w14:paraId="76F8DE04" w14:textId="77777777" w:rsidR="002D5CE9" w:rsidRDefault="002D5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F68B" w14:textId="77777777" w:rsidR="00D33D22" w:rsidRDefault="00D33D2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9DCB" w14:textId="77777777" w:rsidR="00D33D22" w:rsidRDefault="00D33D22">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A5624" w14:textId="77777777" w:rsidR="00D33D22" w:rsidRDefault="00D33D2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4130"/>
    <w:multiLevelType w:val="hybridMultilevel"/>
    <w:tmpl w:val="014C0618"/>
    <w:lvl w:ilvl="0" w:tplc="2A2068D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72C8C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98802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DC5DC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EC833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166D3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94E21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18E8F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EC50E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9637D"/>
    <w:multiLevelType w:val="hybridMultilevel"/>
    <w:tmpl w:val="0032D854"/>
    <w:lvl w:ilvl="0" w:tplc="B5B69D0E">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6EE30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48B258">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4EC77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3882A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D8BF6A">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4A5250">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08CE9C">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16663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9D1202F"/>
    <w:multiLevelType w:val="hybridMultilevel"/>
    <w:tmpl w:val="C4629E48"/>
    <w:lvl w:ilvl="0" w:tplc="D7B83DB2">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1E9870">
      <w:start w:val="1"/>
      <w:numFmt w:val="bullet"/>
      <w:lvlText w:val="o"/>
      <w:lvlJc w:val="left"/>
      <w:pPr>
        <w:ind w:left="1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82ED60">
      <w:start w:val="1"/>
      <w:numFmt w:val="bullet"/>
      <w:lvlText w:val="▪"/>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AEC424">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44A020">
      <w:start w:val="1"/>
      <w:numFmt w:val="bullet"/>
      <w:lvlText w:val="o"/>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26F3CA">
      <w:start w:val="1"/>
      <w:numFmt w:val="bullet"/>
      <w:lvlText w:val="▪"/>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2C293A">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86206E">
      <w:start w:val="1"/>
      <w:numFmt w:val="bullet"/>
      <w:lvlText w:val="o"/>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FA9CF6">
      <w:start w:val="1"/>
      <w:numFmt w:val="bullet"/>
      <w:lvlText w:val="▪"/>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5D0955"/>
    <w:multiLevelType w:val="hybridMultilevel"/>
    <w:tmpl w:val="49662EAC"/>
    <w:lvl w:ilvl="0" w:tplc="015A3432">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92CEA8">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E8A65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64DDB2">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24E79A">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3EE580">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584DCA">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625C2A">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06580C">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B03D3A"/>
    <w:multiLevelType w:val="hybridMultilevel"/>
    <w:tmpl w:val="4F82A65E"/>
    <w:lvl w:ilvl="0" w:tplc="D5C69460">
      <w:start w:val="1"/>
      <w:numFmt w:val="bullet"/>
      <w:lvlText w:val="•"/>
      <w:lvlJc w:val="left"/>
      <w:pPr>
        <w:ind w:left="1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1641F2">
      <w:start w:val="1"/>
      <w:numFmt w:val="bullet"/>
      <w:lvlText w:val="o"/>
      <w:lvlJc w:val="left"/>
      <w:pPr>
        <w:ind w:left="1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AA1D28">
      <w:start w:val="1"/>
      <w:numFmt w:val="bullet"/>
      <w:lvlText w:val="▪"/>
      <w:lvlJc w:val="left"/>
      <w:pPr>
        <w:ind w:left="2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963E94">
      <w:start w:val="1"/>
      <w:numFmt w:val="bullet"/>
      <w:lvlText w:val="•"/>
      <w:lvlJc w:val="left"/>
      <w:pPr>
        <w:ind w:left="2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0E7C46">
      <w:start w:val="1"/>
      <w:numFmt w:val="bullet"/>
      <w:lvlText w:val="o"/>
      <w:lvlJc w:val="left"/>
      <w:pPr>
        <w:ind w:left="3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6EF8AA">
      <w:start w:val="1"/>
      <w:numFmt w:val="bullet"/>
      <w:lvlText w:val="▪"/>
      <w:lvlJc w:val="left"/>
      <w:pPr>
        <w:ind w:left="4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4242D2">
      <w:start w:val="1"/>
      <w:numFmt w:val="bullet"/>
      <w:lvlText w:val="•"/>
      <w:lvlJc w:val="left"/>
      <w:pPr>
        <w:ind w:left="50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AC72DC">
      <w:start w:val="1"/>
      <w:numFmt w:val="bullet"/>
      <w:lvlText w:val="o"/>
      <w:lvlJc w:val="left"/>
      <w:pPr>
        <w:ind w:left="57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84D39E">
      <w:start w:val="1"/>
      <w:numFmt w:val="bullet"/>
      <w:lvlText w:val="▪"/>
      <w:lvlJc w:val="left"/>
      <w:pPr>
        <w:ind w:left="6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CBF6390"/>
    <w:multiLevelType w:val="multilevel"/>
    <w:tmpl w:val="8E4201D6"/>
    <w:lvl w:ilvl="0">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Nagwek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pStyle w:val="Nagwek3"/>
      <w:lvlText w:val="%1.%2.%3."/>
      <w:lvlJc w:val="left"/>
      <w:pPr>
        <w:ind w:left="5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B6F455E"/>
    <w:multiLevelType w:val="hybridMultilevel"/>
    <w:tmpl w:val="B010CC2A"/>
    <w:lvl w:ilvl="0" w:tplc="DD00EFEC">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86F3C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8ACFFA">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F62316">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628E08">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F1A3EAA">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94F67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743D5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A201C6">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AFB3F43"/>
    <w:multiLevelType w:val="hybridMultilevel"/>
    <w:tmpl w:val="5858A486"/>
    <w:lvl w:ilvl="0" w:tplc="117AEA72">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CEFF78">
      <w:start w:val="1"/>
      <w:numFmt w:val="bullet"/>
      <w:lvlText w:val="o"/>
      <w:lvlJc w:val="left"/>
      <w:pPr>
        <w:ind w:left="2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DED72C">
      <w:start w:val="1"/>
      <w:numFmt w:val="bullet"/>
      <w:lvlText w:val="▪"/>
      <w:lvlJc w:val="left"/>
      <w:pPr>
        <w:ind w:left="29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EC9482">
      <w:start w:val="1"/>
      <w:numFmt w:val="bullet"/>
      <w:lvlText w:val="•"/>
      <w:lvlJc w:val="left"/>
      <w:pPr>
        <w:ind w:left="3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62DD96">
      <w:start w:val="1"/>
      <w:numFmt w:val="bullet"/>
      <w:lvlText w:val="o"/>
      <w:lvlJc w:val="left"/>
      <w:pPr>
        <w:ind w:left="44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A29DAA">
      <w:start w:val="1"/>
      <w:numFmt w:val="bullet"/>
      <w:lvlText w:val="▪"/>
      <w:lvlJc w:val="left"/>
      <w:pPr>
        <w:ind w:left="5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7C839E">
      <w:start w:val="1"/>
      <w:numFmt w:val="bullet"/>
      <w:lvlText w:val="•"/>
      <w:lvlJc w:val="left"/>
      <w:pPr>
        <w:ind w:left="58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A08FD2">
      <w:start w:val="1"/>
      <w:numFmt w:val="bullet"/>
      <w:lvlText w:val="o"/>
      <w:lvlJc w:val="left"/>
      <w:pPr>
        <w:ind w:left="65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844AA6">
      <w:start w:val="1"/>
      <w:numFmt w:val="bullet"/>
      <w:lvlText w:val="▪"/>
      <w:lvlJc w:val="left"/>
      <w:pPr>
        <w:ind w:left="73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8D230E"/>
    <w:multiLevelType w:val="hybridMultilevel"/>
    <w:tmpl w:val="12EC2E1E"/>
    <w:lvl w:ilvl="0" w:tplc="8F0C4822">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643F54">
      <w:start w:val="1"/>
      <w:numFmt w:val="bullet"/>
      <w:lvlText w:val="o"/>
      <w:lvlJc w:val="left"/>
      <w:pPr>
        <w:ind w:left="16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0CEBB0">
      <w:start w:val="1"/>
      <w:numFmt w:val="bullet"/>
      <w:lvlText w:val="▪"/>
      <w:lvlJc w:val="left"/>
      <w:pPr>
        <w:ind w:left="23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5E6CBE">
      <w:start w:val="1"/>
      <w:numFmt w:val="bullet"/>
      <w:lvlText w:val="•"/>
      <w:lvlJc w:val="left"/>
      <w:pPr>
        <w:ind w:left="3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702344">
      <w:start w:val="1"/>
      <w:numFmt w:val="bullet"/>
      <w:lvlText w:val="o"/>
      <w:lvlJc w:val="left"/>
      <w:pPr>
        <w:ind w:left="37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02C148">
      <w:start w:val="1"/>
      <w:numFmt w:val="bullet"/>
      <w:lvlText w:val="▪"/>
      <w:lvlJc w:val="left"/>
      <w:pPr>
        <w:ind w:left="4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88B904">
      <w:start w:val="1"/>
      <w:numFmt w:val="bullet"/>
      <w:lvlText w:val="•"/>
      <w:lvlJc w:val="left"/>
      <w:pPr>
        <w:ind w:left="5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D2640E">
      <w:start w:val="1"/>
      <w:numFmt w:val="bullet"/>
      <w:lvlText w:val="o"/>
      <w:lvlJc w:val="left"/>
      <w:pPr>
        <w:ind w:left="59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EA00E9E">
      <w:start w:val="1"/>
      <w:numFmt w:val="bullet"/>
      <w:lvlText w:val="▪"/>
      <w:lvlJc w:val="left"/>
      <w:pPr>
        <w:ind w:left="6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FEA0B51"/>
    <w:multiLevelType w:val="hybridMultilevel"/>
    <w:tmpl w:val="C3FE65B4"/>
    <w:lvl w:ilvl="0" w:tplc="1C60D83C">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AA5F78">
      <w:start w:val="1"/>
      <w:numFmt w:val="bullet"/>
      <w:lvlText w:val="o"/>
      <w:lvlJc w:val="left"/>
      <w:pPr>
        <w:ind w:left="12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ADEAD9A">
      <w:start w:val="1"/>
      <w:numFmt w:val="bullet"/>
      <w:lvlText w:val="▪"/>
      <w:lvlJc w:val="left"/>
      <w:pPr>
        <w:ind w:left="1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1844A0">
      <w:start w:val="1"/>
      <w:numFmt w:val="bullet"/>
      <w:lvlText w:val="•"/>
      <w:lvlJc w:val="left"/>
      <w:pPr>
        <w:ind w:left="2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42AFF8">
      <w:start w:val="1"/>
      <w:numFmt w:val="bullet"/>
      <w:lvlText w:val="o"/>
      <w:lvlJc w:val="left"/>
      <w:pPr>
        <w:ind w:left="33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31C1420">
      <w:start w:val="1"/>
      <w:numFmt w:val="bullet"/>
      <w:lvlText w:val="▪"/>
      <w:lvlJc w:val="left"/>
      <w:pPr>
        <w:ind w:left="40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D4D1E4">
      <w:start w:val="1"/>
      <w:numFmt w:val="bullet"/>
      <w:lvlText w:val="•"/>
      <w:lvlJc w:val="left"/>
      <w:pPr>
        <w:ind w:left="4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5685E4">
      <w:start w:val="1"/>
      <w:numFmt w:val="bullet"/>
      <w:lvlText w:val="o"/>
      <w:lvlJc w:val="left"/>
      <w:pPr>
        <w:ind w:left="55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0AA9D6">
      <w:start w:val="1"/>
      <w:numFmt w:val="bullet"/>
      <w:lvlText w:val="▪"/>
      <w:lvlJc w:val="left"/>
      <w:pPr>
        <w:ind w:left="62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0AC6097"/>
    <w:multiLevelType w:val="hybridMultilevel"/>
    <w:tmpl w:val="71DA4FAE"/>
    <w:lvl w:ilvl="0" w:tplc="3612DF62">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5499D6">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B6CF4EE">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869A34">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344DEC">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92C112">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48F74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063CD6">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68FF8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DB2058C"/>
    <w:multiLevelType w:val="hybridMultilevel"/>
    <w:tmpl w:val="0CA6AF00"/>
    <w:lvl w:ilvl="0" w:tplc="2C7AAEC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12054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E8CF1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D48DF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08F77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330C1A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700C0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86C46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6E66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1CC0023"/>
    <w:multiLevelType w:val="hybridMultilevel"/>
    <w:tmpl w:val="BD5C01AA"/>
    <w:lvl w:ilvl="0" w:tplc="111EFC3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5E48A4">
      <w:start w:val="1"/>
      <w:numFmt w:val="bullet"/>
      <w:lvlText w:val="o"/>
      <w:lvlJc w:val="left"/>
      <w:pPr>
        <w:ind w:left="20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0F00820">
      <w:start w:val="1"/>
      <w:numFmt w:val="bullet"/>
      <w:lvlText w:val="▪"/>
      <w:lvlJc w:val="left"/>
      <w:pPr>
        <w:ind w:left="28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2E8240">
      <w:start w:val="1"/>
      <w:numFmt w:val="bullet"/>
      <w:lvlText w:val="•"/>
      <w:lvlJc w:val="left"/>
      <w:pPr>
        <w:ind w:left="3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1EA54E">
      <w:start w:val="1"/>
      <w:numFmt w:val="bullet"/>
      <w:lvlText w:val="o"/>
      <w:lvlJc w:val="left"/>
      <w:pPr>
        <w:ind w:left="4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4B60F8E">
      <w:start w:val="1"/>
      <w:numFmt w:val="bullet"/>
      <w:lvlText w:val="▪"/>
      <w:lvlJc w:val="left"/>
      <w:pPr>
        <w:ind w:left="49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3E2592">
      <w:start w:val="1"/>
      <w:numFmt w:val="bullet"/>
      <w:lvlText w:val="•"/>
      <w:lvlJc w:val="left"/>
      <w:pPr>
        <w:ind w:left="5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986CE8">
      <w:start w:val="1"/>
      <w:numFmt w:val="bullet"/>
      <w:lvlText w:val="o"/>
      <w:lvlJc w:val="left"/>
      <w:pPr>
        <w:ind w:left="64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7AE8312">
      <w:start w:val="1"/>
      <w:numFmt w:val="bullet"/>
      <w:lvlText w:val="▪"/>
      <w:lvlJc w:val="left"/>
      <w:pPr>
        <w:ind w:left="7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7AB3BF9"/>
    <w:multiLevelType w:val="hybridMultilevel"/>
    <w:tmpl w:val="13725364"/>
    <w:lvl w:ilvl="0" w:tplc="A784E20C">
      <w:start w:val="1"/>
      <w:numFmt w:val="bullet"/>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C08970">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74A5C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82F0E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EE2178">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F221A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C6E74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8B76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1AA5B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577598570">
    <w:abstractNumId w:val="1"/>
  </w:num>
  <w:num w:numId="2" w16cid:durableId="990449454">
    <w:abstractNumId w:val="13"/>
  </w:num>
  <w:num w:numId="3" w16cid:durableId="1727993317">
    <w:abstractNumId w:val="10"/>
  </w:num>
  <w:num w:numId="4" w16cid:durableId="1052384109">
    <w:abstractNumId w:val="3"/>
  </w:num>
  <w:num w:numId="5" w16cid:durableId="908460922">
    <w:abstractNumId w:val="2"/>
  </w:num>
  <w:num w:numId="6" w16cid:durableId="1586917789">
    <w:abstractNumId w:val="4"/>
  </w:num>
  <w:num w:numId="7" w16cid:durableId="1181895826">
    <w:abstractNumId w:val="9"/>
  </w:num>
  <w:num w:numId="8" w16cid:durableId="1625621098">
    <w:abstractNumId w:val="7"/>
  </w:num>
  <w:num w:numId="9" w16cid:durableId="537284401">
    <w:abstractNumId w:val="12"/>
  </w:num>
  <w:num w:numId="10" w16cid:durableId="1318878383">
    <w:abstractNumId w:val="6"/>
  </w:num>
  <w:num w:numId="11" w16cid:durableId="1866677558">
    <w:abstractNumId w:val="11"/>
  </w:num>
  <w:num w:numId="12" w16cid:durableId="1563371192">
    <w:abstractNumId w:val="0"/>
  </w:num>
  <w:num w:numId="13" w16cid:durableId="2079399705">
    <w:abstractNumId w:val="8"/>
  </w:num>
  <w:num w:numId="14" w16cid:durableId="530802370">
    <w:abstractNumId w:val="5"/>
  </w:num>
  <w:num w:numId="15" w16cid:durableId="1262765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58588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8781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81429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0108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9939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3651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36695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56569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22648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10836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69316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30500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22"/>
    <w:rsid w:val="0001366A"/>
    <w:rsid w:val="00022131"/>
    <w:rsid w:val="00043146"/>
    <w:rsid w:val="000F2777"/>
    <w:rsid w:val="00100EB6"/>
    <w:rsid w:val="001441AB"/>
    <w:rsid w:val="00164B57"/>
    <w:rsid w:val="002540D1"/>
    <w:rsid w:val="002B4AC0"/>
    <w:rsid w:val="002C59FC"/>
    <w:rsid w:val="002D5CE9"/>
    <w:rsid w:val="0030302A"/>
    <w:rsid w:val="00362E9F"/>
    <w:rsid w:val="00363788"/>
    <w:rsid w:val="00363A96"/>
    <w:rsid w:val="00371690"/>
    <w:rsid w:val="00372CE7"/>
    <w:rsid w:val="003C4C1E"/>
    <w:rsid w:val="003C5605"/>
    <w:rsid w:val="003D4FE5"/>
    <w:rsid w:val="004405A1"/>
    <w:rsid w:val="004B001E"/>
    <w:rsid w:val="004B5B9B"/>
    <w:rsid w:val="004E0A7B"/>
    <w:rsid w:val="005F0FEC"/>
    <w:rsid w:val="00610D85"/>
    <w:rsid w:val="00630FE7"/>
    <w:rsid w:val="006A0242"/>
    <w:rsid w:val="00710D9F"/>
    <w:rsid w:val="00717648"/>
    <w:rsid w:val="007418E5"/>
    <w:rsid w:val="00772B87"/>
    <w:rsid w:val="007E6517"/>
    <w:rsid w:val="00847502"/>
    <w:rsid w:val="00895D19"/>
    <w:rsid w:val="008A3F42"/>
    <w:rsid w:val="00944595"/>
    <w:rsid w:val="00967C04"/>
    <w:rsid w:val="00A30898"/>
    <w:rsid w:val="00A7674A"/>
    <w:rsid w:val="00A8526A"/>
    <w:rsid w:val="00AA4DCF"/>
    <w:rsid w:val="00B33140"/>
    <w:rsid w:val="00B85D69"/>
    <w:rsid w:val="00C71763"/>
    <w:rsid w:val="00C90150"/>
    <w:rsid w:val="00C91F3A"/>
    <w:rsid w:val="00CA7277"/>
    <w:rsid w:val="00CC24C2"/>
    <w:rsid w:val="00D33D22"/>
    <w:rsid w:val="00D74424"/>
    <w:rsid w:val="00D77DA9"/>
    <w:rsid w:val="00D81B14"/>
    <w:rsid w:val="00E35AA1"/>
    <w:rsid w:val="00E72181"/>
    <w:rsid w:val="00EC483F"/>
    <w:rsid w:val="00EE2256"/>
    <w:rsid w:val="00EE4042"/>
    <w:rsid w:val="00F52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A860E"/>
  <w15:docId w15:val="{0FAC3A33-D5C6-475B-861E-866683E8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3" w:line="265" w:lineRule="auto"/>
      <w:ind w:left="37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numPr>
        <w:numId w:val="14"/>
      </w:numPr>
      <w:spacing w:after="165" w:line="265" w:lineRule="auto"/>
      <w:ind w:left="10"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numPr>
        <w:ilvl w:val="1"/>
        <w:numId w:val="14"/>
      </w:numPr>
      <w:spacing w:after="165" w:line="265" w:lineRule="auto"/>
      <w:ind w:left="10"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numPr>
        <w:ilvl w:val="2"/>
        <w:numId w:val="14"/>
      </w:numPr>
      <w:spacing w:after="165" w:line="265" w:lineRule="auto"/>
      <w:ind w:left="10" w:hanging="10"/>
      <w:outlineLvl w:val="2"/>
    </w:pPr>
    <w:rPr>
      <w:rFonts w:ascii="Times New Roman" w:eastAsia="Times New Roman" w:hAnsi="Times New Roman" w:cs="Times New Roman"/>
      <w:b/>
      <w:color w:val="000000"/>
      <w:sz w:val="24"/>
    </w:rPr>
  </w:style>
  <w:style w:type="paragraph" w:styleId="Nagwek4">
    <w:name w:val="heading 4"/>
    <w:next w:val="Normalny"/>
    <w:link w:val="Nagwek4Znak"/>
    <w:uiPriority w:val="9"/>
    <w:unhideWhenUsed/>
    <w:qFormat/>
    <w:pPr>
      <w:keepNext/>
      <w:keepLines/>
      <w:pBdr>
        <w:top w:val="single" w:sz="24" w:space="0" w:color="000000"/>
        <w:left w:val="single" w:sz="24" w:space="0" w:color="000000"/>
        <w:bottom w:val="single" w:sz="24" w:space="0" w:color="000000"/>
        <w:right w:val="single" w:sz="24" w:space="0" w:color="000000"/>
      </w:pBdr>
      <w:shd w:val="clear" w:color="auto" w:fill="E5E5E5"/>
      <w:spacing w:after="0"/>
      <w:ind w:left="96" w:hanging="10"/>
      <w:jc w:val="center"/>
      <w:outlineLvl w:val="3"/>
    </w:pPr>
    <w:rPr>
      <w:rFonts w:ascii="Arial" w:eastAsia="Arial" w:hAnsi="Arial" w:cs="Arial"/>
      <w:color w:val="000000"/>
    </w:rPr>
  </w:style>
  <w:style w:type="paragraph" w:styleId="Nagwek9">
    <w:name w:val="heading 9"/>
    <w:basedOn w:val="Normalny"/>
    <w:next w:val="Normalny"/>
    <w:link w:val="Nagwek9Znak"/>
    <w:uiPriority w:val="9"/>
    <w:semiHidden/>
    <w:unhideWhenUsed/>
    <w:qFormat/>
    <w:rsid w:val="002B4AC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Pr>
      <w:rFonts w:ascii="Arial" w:eastAsia="Arial" w:hAnsi="Arial" w:cs="Arial"/>
      <w:color w:val="000000"/>
      <w:sz w:val="22"/>
    </w:rPr>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paragraph" w:styleId="Spistreci1">
    <w:name w:val="toc 1"/>
    <w:hidden/>
    <w:uiPriority w:val="39"/>
    <w:pPr>
      <w:spacing w:after="165" w:line="265" w:lineRule="auto"/>
      <w:ind w:left="25" w:right="400" w:hanging="10"/>
    </w:pPr>
    <w:rPr>
      <w:rFonts w:ascii="Times New Roman" w:eastAsia="Times New Roman" w:hAnsi="Times New Roman" w:cs="Times New Roman"/>
      <w:b/>
      <w:color w:val="000000"/>
      <w:sz w:val="24"/>
    </w:rPr>
  </w:style>
  <w:style w:type="paragraph" w:styleId="Spistreci2">
    <w:name w:val="toc 2"/>
    <w:hidden/>
    <w:uiPriority w:val="39"/>
    <w:pPr>
      <w:spacing w:after="165" w:line="265" w:lineRule="auto"/>
      <w:ind w:left="265" w:right="400" w:hanging="10"/>
    </w:pPr>
    <w:rPr>
      <w:rFonts w:ascii="Times New Roman" w:eastAsia="Times New Roman" w:hAnsi="Times New Roman" w:cs="Times New Roman"/>
      <w:b/>
      <w:color w:val="000000"/>
      <w:sz w:val="24"/>
    </w:rPr>
  </w:style>
  <w:style w:type="paragraph" w:styleId="Spistreci3">
    <w:name w:val="toc 3"/>
    <w:hidden/>
    <w:uiPriority w:val="39"/>
    <w:pPr>
      <w:spacing w:after="165" w:line="265" w:lineRule="auto"/>
      <w:ind w:left="505" w:right="400" w:hanging="10"/>
    </w:pPr>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3C5605"/>
    <w:rPr>
      <w:color w:val="0563C1" w:themeColor="hyperlink"/>
      <w:u w:val="single"/>
    </w:rPr>
  </w:style>
  <w:style w:type="paragraph" w:styleId="Akapitzlist">
    <w:name w:val="List Paragraph"/>
    <w:basedOn w:val="Normalny"/>
    <w:uiPriority w:val="34"/>
    <w:qFormat/>
    <w:rsid w:val="004E0A7B"/>
    <w:pPr>
      <w:ind w:left="720"/>
      <w:contextualSpacing/>
    </w:pPr>
  </w:style>
  <w:style w:type="character" w:customStyle="1" w:styleId="Nagwek9Znak">
    <w:name w:val="Nagłówek 9 Znak"/>
    <w:basedOn w:val="Domylnaczcionkaakapitu"/>
    <w:link w:val="Nagwek9"/>
    <w:qFormat/>
    <w:rsid w:val="002B4AC0"/>
    <w:rPr>
      <w:rFonts w:asciiTheme="majorHAnsi" w:eastAsiaTheme="majorEastAsia" w:hAnsiTheme="majorHAnsi" w:cstheme="majorBidi"/>
      <w:i/>
      <w:iCs/>
      <w:color w:val="272727" w:themeColor="text1" w:themeTint="D8"/>
      <w:sz w:val="21"/>
      <w:szCs w:val="21"/>
    </w:rPr>
  </w:style>
  <w:style w:type="table" w:customStyle="1" w:styleId="Tabela-Siatka1">
    <w:name w:val="Tabela - Siatka1"/>
    <w:basedOn w:val="Standardowy"/>
    <w:uiPriority w:val="59"/>
    <w:rsid w:val="002B4AC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2B4A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opka">
    <w:name w:val="footer"/>
    <w:basedOn w:val="Normalny"/>
    <w:link w:val="StopkaZnak"/>
    <w:uiPriority w:val="99"/>
    <w:unhideWhenUsed/>
    <w:rsid w:val="00EC483F"/>
    <w:pPr>
      <w:tabs>
        <w:tab w:val="center" w:pos="4536"/>
        <w:tab w:val="right" w:pos="9072"/>
      </w:tabs>
      <w:spacing w:after="0" w:line="240" w:lineRule="auto"/>
      <w:ind w:left="0" w:firstLine="0"/>
      <w:jc w:val="left"/>
    </w:pPr>
    <w:rPr>
      <w:color w:val="auto"/>
      <w:sz w:val="22"/>
      <w:szCs w:val="20"/>
    </w:rPr>
  </w:style>
  <w:style w:type="character" w:customStyle="1" w:styleId="StopkaZnak">
    <w:name w:val="Stopka Znak"/>
    <w:basedOn w:val="Domylnaczcionkaakapitu"/>
    <w:link w:val="Stopka"/>
    <w:uiPriority w:val="99"/>
    <w:rsid w:val="00EC483F"/>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16</Pages>
  <Words>3642</Words>
  <Characters>21856</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SPECYFIKACJA TECHNICZNA - AW, Wył. ppoż., elektyka i sieć</vt:lpstr>
    </vt:vector>
  </TitlesOfParts>
  <Company/>
  <LinksUpToDate>false</LinksUpToDate>
  <CharactersWithSpaces>25448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 AW, Wył. ppoż., elektyka i sieć</dc:title>
  <dc:subject/>
  <dc:creator>Paweł</dc:creator>
  <cp:keywords/>
  <cp:lastModifiedBy>Maciej Partyka</cp:lastModifiedBy>
  <cp:revision>20</cp:revision>
  <cp:lastPrinted>2023-07-07T08:34:00Z</cp:lastPrinted>
  <dcterms:created xsi:type="dcterms:W3CDTF">2023-03-12T17:30:00Z</dcterms:created>
  <dcterms:modified xsi:type="dcterms:W3CDTF">2023-07-07T08:36:00Z</dcterms:modified>
</cp:coreProperties>
</file>